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4478D" w14:textId="77777777" w:rsidR="006C15DA" w:rsidRPr="00EE05AA" w:rsidRDefault="006C15DA" w:rsidP="006C15DA">
      <w:pPr>
        <w:rPr>
          <w:rFonts w:asciiTheme="majorHAnsi" w:hAnsiTheme="majorHAnsi"/>
        </w:rPr>
      </w:pPr>
    </w:p>
    <w:p w14:paraId="22855C3B" w14:textId="77777777" w:rsidR="00301C85" w:rsidRDefault="00301C85" w:rsidP="006C15DA">
      <w:pPr>
        <w:jc w:val="center"/>
        <w:rPr>
          <w:rFonts w:asciiTheme="majorHAnsi" w:hAnsiTheme="majorHAnsi"/>
          <w:b/>
          <w:bCs/>
        </w:rPr>
      </w:pPr>
    </w:p>
    <w:p w14:paraId="6923EFBD" w14:textId="77777777" w:rsidR="00301C85" w:rsidRDefault="00301C85" w:rsidP="006C15DA">
      <w:pPr>
        <w:jc w:val="center"/>
        <w:rPr>
          <w:rFonts w:asciiTheme="majorHAnsi" w:hAnsiTheme="majorHAnsi"/>
          <w:b/>
          <w:bCs/>
        </w:rPr>
      </w:pPr>
    </w:p>
    <w:p w14:paraId="359D7930" w14:textId="77777777" w:rsidR="00301C85" w:rsidRDefault="00301C85" w:rsidP="006C15DA">
      <w:pPr>
        <w:jc w:val="center"/>
        <w:rPr>
          <w:rFonts w:asciiTheme="majorHAnsi" w:hAnsiTheme="majorHAnsi"/>
          <w:b/>
          <w:bCs/>
        </w:rPr>
      </w:pPr>
    </w:p>
    <w:p w14:paraId="0E2B27C2" w14:textId="4570350C" w:rsidR="00301C85" w:rsidRDefault="00301C85" w:rsidP="00301C85">
      <w:pPr>
        <w:jc w:val="right"/>
        <w:rPr>
          <w:rFonts w:asciiTheme="majorHAnsi" w:hAnsiTheme="majorHAnsi"/>
          <w:b/>
          <w:bCs/>
        </w:rPr>
      </w:pPr>
      <w:r w:rsidRPr="00301C85">
        <w:rPr>
          <w:rFonts w:asciiTheme="majorHAnsi" w:hAnsiTheme="majorHAnsi"/>
          <w:b/>
          <w:bCs/>
          <w:noProof/>
        </w:rPr>
        <w:drawing>
          <wp:inline distT="0" distB="0" distL="0" distR="0" wp14:anchorId="1EBA8290" wp14:editId="22322B2F">
            <wp:extent cx="1190665" cy="992221"/>
            <wp:effectExtent l="0" t="0" r="3175"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a:stretch>
                      <a:fillRect/>
                    </a:stretch>
                  </pic:blipFill>
                  <pic:spPr>
                    <a:xfrm>
                      <a:off x="0" y="0"/>
                      <a:ext cx="1199217" cy="999348"/>
                    </a:xfrm>
                    <a:prstGeom prst="rect">
                      <a:avLst/>
                    </a:prstGeom>
                  </pic:spPr>
                </pic:pic>
              </a:graphicData>
            </a:graphic>
          </wp:inline>
        </w:drawing>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rFonts w:asciiTheme="majorHAnsi" w:hAnsiTheme="majorHAnsi"/>
          <w:b/>
          <w:bCs/>
        </w:rPr>
        <w:tab/>
      </w:r>
      <w:r>
        <w:rPr>
          <w:noProof/>
        </w:rPr>
        <w:drawing>
          <wp:inline distT="0" distB="0" distL="0" distR="0" wp14:anchorId="0BB3E1D6" wp14:editId="4F68A158">
            <wp:extent cx="1831340" cy="434310"/>
            <wp:effectExtent l="0" t="0" r="0" b="0"/>
            <wp:docPr id="4" name="Picture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pic:nvPicPr>
                  <pic:blipFill>
                    <a:blip r:embed="rId12">
                      <a:extLst>
                        <a:ext uri="{28A0092B-C50C-407E-A947-70E740481C1C}">
                          <a14:useLocalDpi xmlns:a14="http://schemas.microsoft.com/office/drawing/2010/main" val="0"/>
                        </a:ext>
                      </a:extLst>
                    </a:blip>
                    <a:stretch>
                      <a:fillRect/>
                    </a:stretch>
                  </pic:blipFill>
                  <pic:spPr>
                    <a:xfrm>
                      <a:off x="0" y="0"/>
                      <a:ext cx="1879295" cy="445683"/>
                    </a:xfrm>
                    <a:prstGeom prst="rect">
                      <a:avLst/>
                    </a:prstGeom>
                  </pic:spPr>
                </pic:pic>
              </a:graphicData>
            </a:graphic>
          </wp:inline>
        </w:drawing>
      </w:r>
      <w:r>
        <w:rPr>
          <w:rFonts w:asciiTheme="majorHAnsi" w:hAnsiTheme="majorHAnsi"/>
          <w:b/>
          <w:bCs/>
        </w:rPr>
        <w:tab/>
      </w:r>
    </w:p>
    <w:p w14:paraId="44BDEA7B" w14:textId="77777777" w:rsidR="00301C85" w:rsidRDefault="00301C85" w:rsidP="006C15DA">
      <w:pPr>
        <w:jc w:val="center"/>
        <w:rPr>
          <w:rFonts w:asciiTheme="majorHAnsi" w:hAnsiTheme="majorHAnsi"/>
          <w:b/>
          <w:bCs/>
        </w:rPr>
      </w:pPr>
    </w:p>
    <w:p w14:paraId="5E7D0ED1" w14:textId="77777777" w:rsidR="00301C85" w:rsidRDefault="00301C85" w:rsidP="006C15DA">
      <w:pPr>
        <w:jc w:val="center"/>
        <w:rPr>
          <w:rFonts w:asciiTheme="majorHAnsi" w:hAnsiTheme="majorHAnsi"/>
          <w:b/>
          <w:bCs/>
        </w:rPr>
      </w:pPr>
    </w:p>
    <w:p w14:paraId="002EB615" w14:textId="77777777" w:rsidR="00301C85" w:rsidRDefault="00301C85" w:rsidP="006C15DA">
      <w:pPr>
        <w:jc w:val="center"/>
        <w:rPr>
          <w:rFonts w:asciiTheme="majorHAnsi" w:hAnsiTheme="majorHAnsi"/>
          <w:b/>
          <w:bCs/>
        </w:rPr>
      </w:pPr>
    </w:p>
    <w:p w14:paraId="3661097B" w14:textId="77777777" w:rsidR="00301C85" w:rsidRDefault="00301C85" w:rsidP="006C15DA">
      <w:pPr>
        <w:jc w:val="center"/>
        <w:rPr>
          <w:rFonts w:asciiTheme="majorHAnsi" w:hAnsiTheme="majorHAnsi"/>
          <w:b/>
          <w:bCs/>
        </w:rPr>
      </w:pPr>
    </w:p>
    <w:p w14:paraId="649CD3BD" w14:textId="77777777" w:rsidR="00301C85" w:rsidRDefault="00301C85" w:rsidP="006C15DA">
      <w:pPr>
        <w:jc w:val="center"/>
        <w:rPr>
          <w:rFonts w:asciiTheme="majorHAnsi" w:hAnsiTheme="majorHAnsi"/>
          <w:b/>
          <w:bCs/>
        </w:rPr>
      </w:pPr>
    </w:p>
    <w:p w14:paraId="49940686" w14:textId="77777777" w:rsidR="00301C85" w:rsidRDefault="00301C85" w:rsidP="006C15DA">
      <w:pPr>
        <w:jc w:val="center"/>
        <w:rPr>
          <w:rFonts w:asciiTheme="majorHAnsi" w:hAnsiTheme="majorHAnsi"/>
          <w:b/>
          <w:bCs/>
        </w:rPr>
      </w:pPr>
    </w:p>
    <w:p w14:paraId="63ACCDFC" w14:textId="77777777" w:rsidR="00301C85" w:rsidRDefault="00301C85" w:rsidP="006C15DA">
      <w:pPr>
        <w:jc w:val="center"/>
        <w:rPr>
          <w:rFonts w:asciiTheme="majorHAnsi" w:hAnsiTheme="majorHAnsi"/>
          <w:b/>
          <w:bCs/>
        </w:rPr>
      </w:pPr>
    </w:p>
    <w:p w14:paraId="4934613D" w14:textId="77777777" w:rsidR="00301C85" w:rsidRDefault="00301C85" w:rsidP="006C15DA">
      <w:pPr>
        <w:jc w:val="center"/>
        <w:rPr>
          <w:rFonts w:asciiTheme="majorHAnsi" w:hAnsiTheme="majorHAnsi"/>
          <w:b/>
          <w:bCs/>
        </w:rPr>
      </w:pPr>
    </w:p>
    <w:p w14:paraId="3C69AA6E" w14:textId="77777777" w:rsidR="00301C85" w:rsidRPr="00301C85" w:rsidRDefault="00301C85" w:rsidP="006C15DA">
      <w:pPr>
        <w:jc w:val="center"/>
        <w:rPr>
          <w:rFonts w:asciiTheme="majorHAnsi" w:hAnsiTheme="majorHAnsi"/>
          <w:b/>
          <w:bCs/>
          <w:sz w:val="32"/>
          <w:szCs w:val="32"/>
        </w:rPr>
      </w:pPr>
    </w:p>
    <w:p w14:paraId="0939D38D" w14:textId="798347E2" w:rsidR="006C15DA" w:rsidRPr="00301C85" w:rsidRDefault="00EE05AA" w:rsidP="006C15DA">
      <w:pPr>
        <w:jc w:val="center"/>
        <w:rPr>
          <w:rFonts w:asciiTheme="majorHAnsi" w:hAnsiTheme="majorHAnsi"/>
          <w:b/>
          <w:bCs/>
          <w:sz w:val="36"/>
          <w:szCs w:val="36"/>
        </w:rPr>
      </w:pPr>
      <w:r w:rsidRPr="00301C85">
        <w:rPr>
          <w:rFonts w:asciiTheme="majorHAnsi" w:hAnsiTheme="majorHAnsi"/>
          <w:b/>
          <w:bCs/>
          <w:sz w:val="36"/>
          <w:szCs w:val="36"/>
        </w:rPr>
        <w:t>Working with Young Men</w:t>
      </w:r>
      <w:r w:rsidR="006C15DA" w:rsidRPr="00301C85">
        <w:rPr>
          <w:rFonts w:asciiTheme="majorHAnsi" w:hAnsiTheme="majorHAnsi"/>
          <w:b/>
          <w:bCs/>
          <w:sz w:val="36"/>
          <w:szCs w:val="36"/>
        </w:rPr>
        <w:t xml:space="preserve">: </w:t>
      </w:r>
      <w:r w:rsidR="00301C85" w:rsidRPr="00301C85">
        <w:rPr>
          <w:rFonts w:asciiTheme="majorHAnsi" w:hAnsiTheme="majorHAnsi"/>
          <w:b/>
          <w:bCs/>
          <w:sz w:val="36"/>
          <w:szCs w:val="36"/>
        </w:rPr>
        <w:t xml:space="preserve">End of </w:t>
      </w:r>
      <w:r w:rsidR="006C15DA" w:rsidRPr="00301C85">
        <w:rPr>
          <w:rFonts w:asciiTheme="majorHAnsi" w:hAnsiTheme="majorHAnsi"/>
          <w:b/>
          <w:bCs/>
          <w:sz w:val="36"/>
          <w:szCs w:val="36"/>
        </w:rPr>
        <w:t>Project Report</w:t>
      </w:r>
    </w:p>
    <w:p w14:paraId="763BBD3C" w14:textId="76B5B50F" w:rsidR="00301C85" w:rsidRDefault="00301C85" w:rsidP="006C15DA">
      <w:pPr>
        <w:jc w:val="center"/>
        <w:rPr>
          <w:rFonts w:asciiTheme="majorHAnsi" w:hAnsiTheme="majorHAnsi"/>
          <w:sz w:val="32"/>
          <w:szCs w:val="32"/>
        </w:rPr>
      </w:pPr>
    </w:p>
    <w:p w14:paraId="33EFF291" w14:textId="7115F9E0" w:rsidR="00301C85" w:rsidRDefault="00301C85" w:rsidP="006C15DA">
      <w:pPr>
        <w:jc w:val="center"/>
        <w:rPr>
          <w:rFonts w:asciiTheme="majorHAnsi" w:hAnsiTheme="majorHAnsi"/>
          <w:sz w:val="32"/>
          <w:szCs w:val="32"/>
        </w:rPr>
      </w:pPr>
    </w:p>
    <w:p w14:paraId="731FE814" w14:textId="77777777" w:rsidR="00301C85" w:rsidRPr="00301C85" w:rsidRDefault="00301C85" w:rsidP="006C15DA">
      <w:pPr>
        <w:jc w:val="center"/>
        <w:rPr>
          <w:rFonts w:asciiTheme="majorHAnsi" w:hAnsiTheme="majorHAnsi"/>
          <w:b/>
          <w:bCs/>
          <w:sz w:val="32"/>
          <w:szCs w:val="32"/>
        </w:rPr>
      </w:pPr>
    </w:p>
    <w:p w14:paraId="5ADD53C1" w14:textId="75E835E2" w:rsidR="006C15DA" w:rsidRPr="00301C85" w:rsidRDefault="006C15DA" w:rsidP="006C15DA">
      <w:pPr>
        <w:jc w:val="center"/>
        <w:rPr>
          <w:rFonts w:asciiTheme="majorHAnsi" w:hAnsiTheme="majorHAnsi"/>
          <w:sz w:val="32"/>
          <w:szCs w:val="32"/>
        </w:rPr>
      </w:pPr>
      <w:r w:rsidRPr="00301C85">
        <w:rPr>
          <w:rFonts w:asciiTheme="majorHAnsi" w:hAnsiTheme="majorHAnsi"/>
          <w:sz w:val="32"/>
          <w:szCs w:val="32"/>
        </w:rPr>
        <w:t>Cath Holmstrom</w:t>
      </w:r>
      <w:r w:rsidR="00EE05AA" w:rsidRPr="00301C85">
        <w:rPr>
          <w:rFonts w:asciiTheme="majorHAnsi" w:hAnsiTheme="majorHAnsi"/>
          <w:sz w:val="32"/>
          <w:szCs w:val="32"/>
        </w:rPr>
        <w:t>,</w:t>
      </w:r>
      <w:r w:rsidRPr="00301C85">
        <w:rPr>
          <w:rFonts w:asciiTheme="majorHAnsi" w:hAnsiTheme="majorHAnsi"/>
          <w:sz w:val="32"/>
          <w:szCs w:val="32"/>
        </w:rPr>
        <w:t xml:space="preserve"> </w:t>
      </w:r>
      <w:r w:rsidR="00456C7F">
        <w:rPr>
          <w:rFonts w:asciiTheme="majorHAnsi" w:hAnsiTheme="majorHAnsi"/>
          <w:sz w:val="32"/>
          <w:szCs w:val="32"/>
        </w:rPr>
        <w:t xml:space="preserve">Gemma North, </w:t>
      </w:r>
      <w:r w:rsidRPr="00301C85">
        <w:rPr>
          <w:rFonts w:asciiTheme="majorHAnsi" w:hAnsiTheme="majorHAnsi"/>
          <w:sz w:val="32"/>
          <w:szCs w:val="32"/>
        </w:rPr>
        <w:t>Mark Price</w:t>
      </w:r>
      <w:r w:rsidR="00EE05AA" w:rsidRPr="00301C85">
        <w:rPr>
          <w:rFonts w:asciiTheme="majorHAnsi" w:hAnsiTheme="majorHAnsi"/>
          <w:sz w:val="32"/>
          <w:szCs w:val="32"/>
        </w:rPr>
        <w:t xml:space="preserve"> and James Ravenhill, University of Brighton</w:t>
      </w:r>
    </w:p>
    <w:p w14:paraId="53682CA8" w14:textId="5E860F62" w:rsidR="00EE05AA" w:rsidRPr="00301C85" w:rsidRDefault="00EE05AA" w:rsidP="006C15DA">
      <w:pPr>
        <w:jc w:val="center"/>
        <w:rPr>
          <w:rFonts w:asciiTheme="majorHAnsi" w:hAnsiTheme="majorHAnsi"/>
          <w:sz w:val="32"/>
          <w:szCs w:val="32"/>
        </w:rPr>
      </w:pPr>
    </w:p>
    <w:p w14:paraId="58090116" w14:textId="5E807A46" w:rsidR="00EE05AA" w:rsidRPr="00301C85" w:rsidRDefault="00EE05AA" w:rsidP="006C15DA">
      <w:pPr>
        <w:jc w:val="center"/>
        <w:rPr>
          <w:rFonts w:asciiTheme="majorHAnsi" w:hAnsiTheme="majorHAnsi"/>
          <w:sz w:val="32"/>
          <w:szCs w:val="32"/>
        </w:rPr>
      </w:pPr>
    </w:p>
    <w:p w14:paraId="01DFC9DE" w14:textId="014FF57C" w:rsidR="00EE05AA" w:rsidRPr="00301C85" w:rsidRDefault="00EE05AA" w:rsidP="006C15DA">
      <w:pPr>
        <w:jc w:val="center"/>
        <w:rPr>
          <w:rFonts w:asciiTheme="majorHAnsi" w:hAnsiTheme="majorHAnsi"/>
          <w:sz w:val="32"/>
          <w:szCs w:val="32"/>
        </w:rPr>
      </w:pPr>
    </w:p>
    <w:p w14:paraId="7389537D" w14:textId="59A3503E" w:rsidR="00EE05AA" w:rsidRPr="00301C85" w:rsidRDefault="00301C85" w:rsidP="006C15DA">
      <w:pPr>
        <w:jc w:val="center"/>
        <w:rPr>
          <w:rFonts w:asciiTheme="majorHAnsi" w:hAnsiTheme="majorHAnsi"/>
          <w:sz w:val="32"/>
          <w:szCs w:val="32"/>
        </w:rPr>
      </w:pPr>
      <w:r>
        <w:rPr>
          <w:rFonts w:asciiTheme="majorHAnsi" w:hAnsiTheme="majorHAnsi"/>
          <w:sz w:val="32"/>
          <w:szCs w:val="32"/>
        </w:rPr>
        <w:t xml:space="preserve">April 2021 </w:t>
      </w:r>
    </w:p>
    <w:p w14:paraId="2EE87772" w14:textId="4DF3BDD4" w:rsidR="00EE05AA" w:rsidRPr="00301C85" w:rsidRDefault="00EE05AA" w:rsidP="006C15DA">
      <w:pPr>
        <w:jc w:val="center"/>
        <w:rPr>
          <w:rFonts w:asciiTheme="majorHAnsi" w:hAnsiTheme="majorHAnsi"/>
          <w:sz w:val="32"/>
          <w:szCs w:val="32"/>
        </w:rPr>
      </w:pPr>
    </w:p>
    <w:p w14:paraId="1AC65F29" w14:textId="6E2015F0" w:rsidR="00301C85" w:rsidRDefault="00301C85" w:rsidP="006C15DA">
      <w:pPr>
        <w:jc w:val="center"/>
        <w:rPr>
          <w:rFonts w:asciiTheme="majorHAnsi" w:hAnsiTheme="majorHAnsi"/>
        </w:rPr>
      </w:pPr>
    </w:p>
    <w:p w14:paraId="5FF69338" w14:textId="117AAF14" w:rsidR="00301C85" w:rsidRDefault="00301C85" w:rsidP="006C15DA">
      <w:pPr>
        <w:jc w:val="center"/>
        <w:rPr>
          <w:rFonts w:asciiTheme="majorHAnsi" w:hAnsiTheme="majorHAnsi"/>
        </w:rPr>
      </w:pPr>
    </w:p>
    <w:p w14:paraId="2A9B3CAD" w14:textId="20738B59" w:rsidR="00301C85" w:rsidRDefault="00301C85" w:rsidP="006C15DA">
      <w:pPr>
        <w:jc w:val="center"/>
        <w:rPr>
          <w:rFonts w:asciiTheme="majorHAnsi" w:hAnsiTheme="majorHAnsi"/>
        </w:rPr>
      </w:pPr>
    </w:p>
    <w:p w14:paraId="0BB58849" w14:textId="4E3A1FC7" w:rsidR="00301C85" w:rsidRDefault="00301C85" w:rsidP="006C15DA">
      <w:pPr>
        <w:jc w:val="center"/>
        <w:rPr>
          <w:rFonts w:asciiTheme="majorHAnsi" w:hAnsiTheme="majorHAnsi"/>
        </w:rPr>
      </w:pPr>
    </w:p>
    <w:p w14:paraId="26E1E52B" w14:textId="2792C584" w:rsidR="00301C85" w:rsidRDefault="00301C85" w:rsidP="006C15DA">
      <w:pPr>
        <w:jc w:val="center"/>
        <w:rPr>
          <w:rFonts w:asciiTheme="majorHAnsi" w:hAnsiTheme="majorHAnsi"/>
        </w:rPr>
      </w:pPr>
    </w:p>
    <w:p w14:paraId="44B02D19" w14:textId="35BEF13F" w:rsidR="00301C85" w:rsidRDefault="00301C85" w:rsidP="006C15DA">
      <w:pPr>
        <w:jc w:val="center"/>
        <w:rPr>
          <w:rFonts w:asciiTheme="majorHAnsi" w:hAnsiTheme="majorHAnsi"/>
        </w:rPr>
      </w:pPr>
    </w:p>
    <w:p w14:paraId="7939DD91" w14:textId="3BF60228" w:rsidR="00301C85" w:rsidRDefault="00301C85" w:rsidP="006C15DA">
      <w:pPr>
        <w:jc w:val="center"/>
        <w:rPr>
          <w:rFonts w:asciiTheme="majorHAnsi" w:hAnsiTheme="majorHAnsi"/>
        </w:rPr>
      </w:pPr>
    </w:p>
    <w:p w14:paraId="67BD8362" w14:textId="6C66320C" w:rsidR="00301C85" w:rsidRDefault="00301C85" w:rsidP="006C15DA">
      <w:pPr>
        <w:jc w:val="center"/>
        <w:rPr>
          <w:rFonts w:asciiTheme="majorHAnsi" w:hAnsiTheme="majorHAnsi"/>
        </w:rPr>
      </w:pPr>
    </w:p>
    <w:p w14:paraId="279AE255" w14:textId="7BE9A6F9" w:rsidR="00301C85" w:rsidRDefault="00301C85" w:rsidP="006C15DA">
      <w:pPr>
        <w:jc w:val="center"/>
        <w:rPr>
          <w:rFonts w:asciiTheme="majorHAnsi" w:hAnsiTheme="majorHAnsi"/>
        </w:rPr>
      </w:pPr>
    </w:p>
    <w:p w14:paraId="394923EF" w14:textId="68DCD58D" w:rsidR="00301C85" w:rsidRDefault="00301C85" w:rsidP="00301C85">
      <w:pPr>
        <w:rPr>
          <w:rFonts w:asciiTheme="majorHAnsi" w:hAnsiTheme="majorHAnsi"/>
        </w:rPr>
      </w:pPr>
      <w:r>
        <w:rPr>
          <w:rFonts w:asciiTheme="majorHAnsi" w:hAnsiTheme="majorHAnsi"/>
        </w:rPr>
        <w:br w:type="page"/>
      </w:r>
    </w:p>
    <w:p w14:paraId="3E2E2E83" w14:textId="77777777" w:rsidR="00301C85" w:rsidRDefault="00301C85" w:rsidP="006C15DA">
      <w:pPr>
        <w:jc w:val="center"/>
        <w:rPr>
          <w:rFonts w:asciiTheme="majorHAnsi" w:hAnsiTheme="majorHAnsi"/>
        </w:rPr>
      </w:pPr>
    </w:p>
    <w:p w14:paraId="2324590C" w14:textId="4478E578" w:rsidR="00EE05AA" w:rsidRDefault="00EE05AA" w:rsidP="006C15DA">
      <w:pPr>
        <w:jc w:val="center"/>
        <w:rPr>
          <w:rFonts w:asciiTheme="majorHAnsi" w:hAnsiTheme="majorHAnsi"/>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234"/>
        <w:gridCol w:w="1410"/>
      </w:tblGrid>
      <w:tr w:rsidR="00EE05AA" w14:paraId="6762F4B8" w14:textId="77777777" w:rsidTr="003A79C9">
        <w:trPr>
          <w:trHeight w:val="392"/>
        </w:trPr>
        <w:tc>
          <w:tcPr>
            <w:tcW w:w="9634" w:type="dxa"/>
            <w:gridSpan w:val="3"/>
          </w:tcPr>
          <w:p w14:paraId="138EC687" w14:textId="79EDD307" w:rsidR="00EE05AA" w:rsidRPr="00E41A0C" w:rsidRDefault="00EE05AA" w:rsidP="006C15DA">
            <w:pPr>
              <w:jc w:val="center"/>
              <w:rPr>
                <w:rFonts w:asciiTheme="majorHAnsi" w:hAnsiTheme="majorHAnsi"/>
                <w:b/>
                <w:bCs/>
              </w:rPr>
            </w:pPr>
            <w:r w:rsidRPr="00E41A0C">
              <w:rPr>
                <w:rFonts w:asciiTheme="majorHAnsi" w:hAnsiTheme="majorHAnsi"/>
                <w:b/>
                <w:bCs/>
              </w:rPr>
              <w:t xml:space="preserve">Table of report contents </w:t>
            </w:r>
          </w:p>
        </w:tc>
      </w:tr>
      <w:tr w:rsidR="009F44E7" w:rsidRPr="00EB0731" w14:paraId="2E4032EA" w14:textId="77777777" w:rsidTr="00252AFB">
        <w:trPr>
          <w:trHeight w:val="368"/>
        </w:trPr>
        <w:tc>
          <w:tcPr>
            <w:tcW w:w="993" w:type="dxa"/>
          </w:tcPr>
          <w:p w14:paraId="5A532237" w14:textId="677C9E62" w:rsidR="009F44E7" w:rsidRPr="00EB0731" w:rsidRDefault="009F44E7" w:rsidP="003A79C9">
            <w:pPr>
              <w:rPr>
                <w:rFonts w:asciiTheme="majorHAnsi" w:hAnsiTheme="majorHAnsi"/>
                <w:i/>
                <w:iCs/>
              </w:rPr>
            </w:pPr>
            <w:r w:rsidRPr="00EB0731">
              <w:rPr>
                <w:rFonts w:asciiTheme="majorHAnsi" w:hAnsiTheme="majorHAnsi"/>
                <w:i/>
                <w:iCs/>
              </w:rPr>
              <w:t xml:space="preserve">Section </w:t>
            </w:r>
          </w:p>
        </w:tc>
        <w:tc>
          <w:tcPr>
            <w:tcW w:w="7435" w:type="dxa"/>
          </w:tcPr>
          <w:p w14:paraId="42547CFC" w14:textId="714AFA89" w:rsidR="009F44E7" w:rsidRPr="00EB0731" w:rsidRDefault="009F44E7" w:rsidP="00E41A0C">
            <w:pPr>
              <w:rPr>
                <w:rFonts w:asciiTheme="majorHAnsi" w:hAnsiTheme="majorHAnsi"/>
                <w:i/>
                <w:iCs/>
              </w:rPr>
            </w:pPr>
            <w:r w:rsidRPr="00EB0731">
              <w:rPr>
                <w:rFonts w:asciiTheme="majorHAnsi" w:hAnsiTheme="majorHAnsi"/>
                <w:i/>
                <w:iCs/>
              </w:rPr>
              <w:t>Heading</w:t>
            </w:r>
          </w:p>
        </w:tc>
        <w:tc>
          <w:tcPr>
            <w:tcW w:w="1206" w:type="dxa"/>
          </w:tcPr>
          <w:p w14:paraId="3E4BA3B1" w14:textId="0464C6D2" w:rsidR="009F44E7" w:rsidRPr="00EB0731" w:rsidRDefault="009F44E7" w:rsidP="003A79C9">
            <w:pPr>
              <w:jc w:val="right"/>
              <w:rPr>
                <w:rFonts w:asciiTheme="majorHAnsi" w:hAnsiTheme="majorHAnsi"/>
                <w:i/>
                <w:iCs/>
              </w:rPr>
            </w:pPr>
            <w:r w:rsidRPr="00EB0731">
              <w:rPr>
                <w:rFonts w:asciiTheme="majorHAnsi" w:hAnsiTheme="majorHAnsi"/>
                <w:i/>
                <w:iCs/>
              </w:rPr>
              <w:t xml:space="preserve">Page </w:t>
            </w:r>
          </w:p>
        </w:tc>
      </w:tr>
      <w:tr w:rsidR="009F44E7" w14:paraId="19E420BE" w14:textId="77777777" w:rsidTr="00252AFB">
        <w:tc>
          <w:tcPr>
            <w:tcW w:w="993" w:type="dxa"/>
          </w:tcPr>
          <w:p w14:paraId="6FEE1332" w14:textId="0E0861F8" w:rsidR="009F44E7" w:rsidRDefault="009F44E7" w:rsidP="003A79C9">
            <w:pPr>
              <w:rPr>
                <w:rFonts w:asciiTheme="majorHAnsi" w:hAnsiTheme="majorHAnsi"/>
              </w:rPr>
            </w:pPr>
            <w:r>
              <w:rPr>
                <w:rFonts w:asciiTheme="majorHAnsi" w:hAnsiTheme="majorHAnsi"/>
              </w:rPr>
              <w:t>1</w:t>
            </w:r>
          </w:p>
        </w:tc>
        <w:tc>
          <w:tcPr>
            <w:tcW w:w="7435" w:type="dxa"/>
          </w:tcPr>
          <w:p w14:paraId="1B635D5A" w14:textId="1BB4B6FA" w:rsidR="009F44E7" w:rsidRDefault="009F44E7" w:rsidP="00E41A0C">
            <w:pPr>
              <w:rPr>
                <w:rFonts w:asciiTheme="majorHAnsi" w:hAnsiTheme="majorHAnsi"/>
              </w:rPr>
            </w:pPr>
            <w:r>
              <w:rPr>
                <w:rFonts w:asciiTheme="majorHAnsi" w:hAnsiTheme="majorHAnsi"/>
              </w:rPr>
              <w:t>Introduction</w:t>
            </w:r>
          </w:p>
        </w:tc>
        <w:tc>
          <w:tcPr>
            <w:tcW w:w="1206" w:type="dxa"/>
          </w:tcPr>
          <w:p w14:paraId="4E0106A8" w14:textId="02BA47BF" w:rsidR="009F44E7" w:rsidRDefault="00301C85" w:rsidP="00DD7175">
            <w:pPr>
              <w:jc w:val="right"/>
              <w:rPr>
                <w:rFonts w:asciiTheme="majorHAnsi" w:hAnsiTheme="majorHAnsi"/>
              </w:rPr>
            </w:pPr>
            <w:r>
              <w:rPr>
                <w:rFonts w:asciiTheme="majorHAnsi" w:hAnsiTheme="majorHAnsi"/>
              </w:rPr>
              <w:t>4</w:t>
            </w:r>
          </w:p>
        </w:tc>
      </w:tr>
      <w:tr w:rsidR="009F44E7" w14:paraId="75EEC82C" w14:textId="77777777" w:rsidTr="00252AFB">
        <w:tc>
          <w:tcPr>
            <w:tcW w:w="993" w:type="dxa"/>
          </w:tcPr>
          <w:p w14:paraId="5A9C6F24" w14:textId="77777777" w:rsidR="009F44E7" w:rsidRDefault="009F44E7" w:rsidP="003A79C9">
            <w:pPr>
              <w:rPr>
                <w:rFonts w:asciiTheme="majorHAnsi" w:hAnsiTheme="majorHAnsi"/>
              </w:rPr>
            </w:pPr>
            <w:r>
              <w:rPr>
                <w:rFonts w:asciiTheme="majorHAnsi" w:hAnsiTheme="majorHAnsi"/>
              </w:rPr>
              <w:t>2</w:t>
            </w:r>
          </w:p>
          <w:p w14:paraId="5FC8DDF5" w14:textId="19B92E3D" w:rsidR="00114D69" w:rsidRPr="00114D69" w:rsidRDefault="00114D69" w:rsidP="00114D69">
            <w:pPr>
              <w:rPr>
                <w:rFonts w:asciiTheme="majorHAnsi" w:hAnsiTheme="majorHAnsi"/>
              </w:rPr>
            </w:pPr>
            <w:r>
              <w:rPr>
                <w:rFonts w:asciiTheme="majorHAnsi" w:hAnsiTheme="majorHAnsi"/>
              </w:rPr>
              <w:t xml:space="preserve"> </w:t>
            </w:r>
          </w:p>
        </w:tc>
        <w:tc>
          <w:tcPr>
            <w:tcW w:w="7435" w:type="dxa"/>
          </w:tcPr>
          <w:p w14:paraId="7F0C0275" w14:textId="77777777" w:rsidR="00114D69" w:rsidRPr="00DD7175" w:rsidRDefault="009F44E7" w:rsidP="00DD7175">
            <w:pPr>
              <w:rPr>
                <w:rFonts w:asciiTheme="majorHAnsi" w:hAnsiTheme="majorHAnsi"/>
              </w:rPr>
            </w:pPr>
            <w:r w:rsidRPr="00DD7175">
              <w:rPr>
                <w:rFonts w:asciiTheme="majorHAnsi" w:hAnsiTheme="majorHAnsi"/>
              </w:rPr>
              <w:t>Literature review</w:t>
            </w:r>
          </w:p>
          <w:p w14:paraId="0732811B" w14:textId="77777777" w:rsidR="00114D69" w:rsidRPr="00DD7175" w:rsidRDefault="00DD7175" w:rsidP="00DD7175">
            <w:pPr>
              <w:rPr>
                <w:rFonts w:asciiTheme="majorHAnsi" w:hAnsiTheme="majorHAnsi"/>
              </w:rPr>
            </w:pPr>
            <w:r w:rsidRPr="00DD7175">
              <w:rPr>
                <w:rFonts w:asciiTheme="majorHAnsi" w:hAnsiTheme="majorHAnsi"/>
              </w:rPr>
              <w:t>2.1 Introduction</w:t>
            </w:r>
          </w:p>
          <w:p w14:paraId="46B24112" w14:textId="1EF2A504" w:rsidR="00DD7175" w:rsidRPr="00DD7175" w:rsidRDefault="00DD7175" w:rsidP="00DD7175">
            <w:pPr>
              <w:rPr>
                <w:rFonts w:asciiTheme="majorHAnsi" w:hAnsiTheme="majorHAnsi"/>
              </w:rPr>
            </w:pPr>
            <w:r w:rsidRPr="00DD7175">
              <w:rPr>
                <w:rFonts w:asciiTheme="majorHAnsi" w:hAnsiTheme="majorHAnsi"/>
              </w:rPr>
              <w:t xml:space="preserve">2.2 </w:t>
            </w:r>
            <w:r w:rsidRPr="00A14F5C">
              <w:rPr>
                <w:rFonts w:ascii="Calibri" w:eastAsia="MS Mincho" w:hAnsi="Calibri" w:cs="Calibri"/>
              </w:rPr>
              <w:t>Issues experienced by and associated behaviours of young men</w:t>
            </w:r>
          </w:p>
          <w:p w14:paraId="128733B8" w14:textId="77777777" w:rsidR="00DD7175" w:rsidRPr="00DD7175" w:rsidRDefault="00DD7175" w:rsidP="00A14F5C">
            <w:pPr>
              <w:rPr>
                <w:rFonts w:ascii="Calibri" w:eastAsia="MS Mincho" w:hAnsi="Calibri" w:cs="Calibri"/>
              </w:rPr>
            </w:pPr>
            <w:r w:rsidRPr="00DD7175">
              <w:rPr>
                <w:rFonts w:asciiTheme="majorHAnsi" w:hAnsiTheme="majorHAnsi"/>
              </w:rPr>
              <w:t xml:space="preserve">2.3 </w:t>
            </w:r>
            <w:r w:rsidRPr="00A14F5C">
              <w:rPr>
                <w:rFonts w:ascii="Calibri" w:eastAsia="MS Mincho" w:hAnsi="Calibri" w:cs="Calibri"/>
              </w:rPr>
              <w:t>Approaches, models and service interventions with young men</w:t>
            </w:r>
          </w:p>
          <w:p w14:paraId="0F9D14AC" w14:textId="77777777" w:rsidR="00DD7175" w:rsidRPr="00DD7175" w:rsidRDefault="00DD7175" w:rsidP="00DD7175">
            <w:pPr>
              <w:rPr>
                <w:rFonts w:ascii="Calibri" w:eastAsia="MS Mincho" w:hAnsi="Calibri" w:cs="Calibri"/>
              </w:rPr>
            </w:pPr>
            <w:r w:rsidRPr="00DD7175">
              <w:rPr>
                <w:rFonts w:asciiTheme="majorHAnsi" w:hAnsiTheme="majorHAnsi"/>
              </w:rPr>
              <w:t xml:space="preserve">2.4 </w:t>
            </w:r>
            <w:r w:rsidRPr="00A14F5C">
              <w:rPr>
                <w:rFonts w:ascii="Calibri" w:eastAsia="MS Mincho" w:hAnsi="Calibri" w:cs="Calibri"/>
              </w:rPr>
              <w:t>Models of intervention 1: The Roca High-Risk Young Men Intervention Model (HYMIM)</w:t>
            </w:r>
          </w:p>
          <w:p w14:paraId="37F7DE0A" w14:textId="6C290939" w:rsidR="00DD7175" w:rsidRPr="00A14F5C" w:rsidRDefault="00DD7175" w:rsidP="00DD7175">
            <w:pPr>
              <w:rPr>
                <w:rFonts w:ascii="Calibri" w:eastAsia="MS Mincho" w:hAnsi="Calibri" w:cs="Calibri"/>
              </w:rPr>
            </w:pPr>
            <w:r w:rsidRPr="00DD7175">
              <w:rPr>
                <w:rFonts w:ascii="Calibri" w:eastAsia="MS Mincho" w:hAnsi="Calibri" w:cs="Calibri"/>
              </w:rPr>
              <w:t xml:space="preserve">2.5 </w:t>
            </w:r>
            <w:r w:rsidRPr="00A14F5C">
              <w:rPr>
                <w:rFonts w:asciiTheme="majorHAnsi" w:eastAsia="MS Mincho" w:hAnsiTheme="majorHAnsi" w:cstheme="majorHAnsi"/>
              </w:rPr>
              <w:t xml:space="preserve">Models of intervention 2: The Risk-Needs-Responsivity model of offender treatment </w:t>
            </w:r>
            <w:r w:rsidR="006C2146">
              <w:rPr>
                <w:rFonts w:asciiTheme="majorHAnsi" w:eastAsia="MS Mincho" w:hAnsiTheme="majorHAnsi" w:cstheme="majorHAnsi"/>
              </w:rPr>
              <w:t>(RNR)</w:t>
            </w:r>
          </w:p>
        </w:tc>
        <w:tc>
          <w:tcPr>
            <w:tcW w:w="1206" w:type="dxa"/>
          </w:tcPr>
          <w:p w14:paraId="0705FFC4" w14:textId="32AB04B4" w:rsidR="009F44E7" w:rsidRDefault="00DD7175" w:rsidP="00DD7175">
            <w:pPr>
              <w:jc w:val="right"/>
              <w:rPr>
                <w:rFonts w:asciiTheme="majorHAnsi" w:hAnsiTheme="majorHAnsi"/>
              </w:rPr>
            </w:pPr>
            <w:r>
              <w:rPr>
                <w:rFonts w:asciiTheme="majorHAnsi" w:hAnsiTheme="majorHAnsi"/>
              </w:rPr>
              <w:t xml:space="preserve">                     </w:t>
            </w:r>
            <w:r w:rsidR="0080697E">
              <w:rPr>
                <w:rFonts w:asciiTheme="majorHAnsi" w:hAnsiTheme="majorHAnsi"/>
              </w:rPr>
              <w:t>8</w:t>
            </w:r>
          </w:p>
          <w:p w14:paraId="6C442CA9" w14:textId="65E02CEE" w:rsidR="00DD7175" w:rsidRDefault="0080697E" w:rsidP="00A14F5C">
            <w:pPr>
              <w:jc w:val="right"/>
              <w:rPr>
                <w:rFonts w:asciiTheme="majorHAnsi" w:hAnsiTheme="majorHAnsi"/>
              </w:rPr>
            </w:pPr>
            <w:r>
              <w:rPr>
                <w:rFonts w:asciiTheme="majorHAnsi" w:hAnsiTheme="majorHAnsi"/>
              </w:rPr>
              <w:t>8</w:t>
            </w:r>
          </w:p>
          <w:p w14:paraId="2D6E4CFF" w14:textId="6428817F" w:rsidR="00DD7175" w:rsidRDefault="00DD7175" w:rsidP="00A14F5C">
            <w:pPr>
              <w:tabs>
                <w:tab w:val="left" w:pos="950"/>
              </w:tabs>
              <w:jc w:val="right"/>
              <w:rPr>
                <w:rFonts w:asciiTheme="majorHAnsi" w:hAnsiTheme="majorHAnsi"/>
              </w:rPr>
            </w:pPr>
            <w:r>
              <w:rPr>
                <w:rFonts w:asciiTheme="majorHAnsi" w:hAnsiTheme="majorHAnsi"/>
              </w:rPr>
              <w:tab/>
            </w:r>
            <w:r w:rsidR="0080697E">
              <w:rPr>
                <w:rFonts w:asciiTheme="majorHAnsi" w:hAnsiTheme="majorHAnsi"/>
              </w:rPr>
              <w:t>10</w:t>
            </w:r>
            <w:r>
              <w:rPr>
                <w:rFonts w:asciiTheme="majorHAnsi" w:hAnsiTheme="majorHAnsi"/>
              </w:rPr>
              <w:t xml:space="preserve">   </w:t>
            </w:r>
            <w:r w:rsidR="0080697E">
              <w:rPr>
                <w:rFonts w:asciiTheme="majorHAnsi" w:hAnsiTheme="majorHAnsi"/>
              </w:rPr>
              <w:t>29</w:t>
            </w:r>
          </w:p>
          <w:p w14:paraId="44FDD287" w14:textId="7F33C094" w:rsidR="00DD7175" w:rsidRDefault="00DD7175" w:rsidP="00A14F5C">
            <w:pPr>
              <w:tabs>
                <w:tab w:val="left" w:pos="950"/>
              </w:tabs>
              <w:jc w:val="right"/>
              <w:rPr>
                <w:rFonts w:asciiTheme="majorHAnsi" w:hAnsiTheme="majorHAnsi"/>
              </w:rPr>
            </w:pPr>
            <w:r>
              <w:rPr>
                <w:rFonts w:asciiTheme="majorHAnsi" w:hAnsiTheme="majorHAnsi"/>
              </w:rPr>
              <w:tab/>
              <w:t xml:space="preserve"> </w:t>
            </w:r>
            <w:r w:rsidR="0080697E">
              <w:rPr>
                <w:rFonts w:asciiTheme="majorHAnsi" w:hAnsiTheme="majorHAnsi"/>
              </w:rPr>
              <w:t>44</w:t>
            </w:r>
          </w:p>
          <w:p w14:paraId="2BD75D4E" w14:textId="03318A02" w:rsidR="00DD7175" w:rsidRDefault="00DD7175" w:rsidP="00A14F5C">
            <w:pPr>
              <w:tabs>
                <w:tab w:val="left" w:pos="950"/>
              </w:tabs>
              <w:jc w:val="right"/>
              <w:rPr>
                <w:rFonts w:asciiTheme="majorHAnsi" w:hAnsiTheme="majorHAnsi"/>
              </w:rPr>
            </w:pPr>
            <w:r>
              <w:rPr>
                <w:rFonts w:asciiTheme="majorHAnsi" w:hAnsiTheme="majorHAnsi"/>
              </w:rPr>
              <w:tab/>
            </w:r>
          </w:p>
          <w:p w14:paraId="61BCEAC0" w14:textId="65D1129B" w:rsidR="00DD7175" w:rsidRDefault="0080697E" w:rsidP="00A14F5C">
            <w:pPr>
              <w:jc w:val="right"/>
              <w:rPr>
                <w:rFonts w:asciiTheme="majorHAnsi" w:hAnsiTheme="majorHAnsi"/>
              </w:rPr>
            </w:pPr>
            <w:r>
              <w:rPr>
                <w:rFonts w:asciiTheme="majorHAnsi" w:hAnsiTheme="majorHAnsi"/>
              </w:rPr>
              <w:t>50</w:t>
            </w:r>
          </w:p>
          <w:p w14:paraId="3B0DFDE6" w14:textId="1E8822F4" w:rsidR="00DD7175" w:rsidRPr="00DD7175" w:rsidRDefault="00DD7175" w:rsidP="00A14F5C">
            <w:pPr>
              <w:tabs>
                <w:tab w:val="left" w:pos="1088"/>
              </w:tabs>
              <w:jc w:val="right"/>
              <w:rPr>
                <w:rFonts w:asciiTheme="majorHAnsi" w:hAnsiTheme="majorHAnsi"/>
              </w:rPr>
            </w:pPr>
            <w:r>
              <w:rPr>
                <w:rFonts w:asciiTheme="majorHAnsi" w:hAnsiTheme="majorHAnsi"/>
              </w:rPr>
              <w:tab/>
            </w:r>
          </w:p>
        </w:tc>
      </w:tr>
      <w:tr w:rsidR="009F44E7" w14:paraId="547B36D1" w14:textId="77777777" w:rsidTr="00252AFB">
        <w:tc>
          <w:tcPr>
            <w:tcW w:w="993" w:type="dxa"/>
          </w:tcPr>
          <w:p w14:paraId="4BF79718" w14:textId="2BDF3963" w:rsidR="009F44E7" w:rsidRDefault="004C7BE1" w:rsidP="003A79C9">
            <w:pPr>
              <w:rPr>
                <w:rFonts w:asciiTheme="majorHAnsi" w:hAnsiTheme="majorHAnsi"/>
              </w:rPr>
            </w:pPr>
            <w:r>
              <w:rPr>
                <w:rFonts w:asciiTheme="majorHAnsi" w:hAnsiTheme="majorHAnsi"/>
              </w:rPr>
              <w:t>3</w:t>
            </w:r>
          </w:p>
          <w:p w14:paraId="3D0658EB" w14:textId="2DA95AC4" w:rsidR="007124DA" w:rsidRDefault="004C7BE1" w:rsidP="003A79C9">
            <w:pPr>
              <w:rPr>
                <w:rFonts w:asciiTheme="majorHAnsi" w:hAnsiTheme="majorHAnsi"/>
              </w:rPr>
            </w:pPr>
            <w:r>
              <w:rPr>
                <w:rFonts w:asciiTheme="majorHAnsi" w:hAnsiTheme="majorHAnsi"/>
              </w:rPr>
              <w:t>4</w:t>
            </w:r>
          </w:p>
        </w:tc>
        <w:tc>
          <w:tcPr>
            <w:tcW w:w="7435" w:type="dxa"/>
          </w:tcPr>
          <w:p w14:paraId="25182B4D" w14:textId="124E483B" w:rsidR="009F44E7" w:rsidRDefault="007124DA" w:rsidP="00E41A0C">
            <w:pPr>
              <w:rPr>
                <w:rFonts w:asciiTheme="majorHAnsi" w:hAnsiTheme="majorHAnsi"/>
              </w:rPr>
            </w:pPr>
            <w:r>
              <w:rPr>
                <w:rFonts w:asciiTheme="majorHAnsi" w:hAnsiTheme="majorHAnsi"/>
              </w:rPr>
              <w:t xml:space="preserve">Local young men known to </w:t>
            </w:r>
            <w:r w:rsidR="00A909E0">
              <w:rPr>
                <w:rFonts w:asciiTheme="majorHAnsi" w:hAnsiTheme="majorHAnsi"/>
              </w:rPr>
              <w:t>‘</w:t>
            </w:r>
            <w:r>
              <w:rPr>
                <w:rFonts w:asciiTheme="majorHAnsi" w:hAnsiTheme="majorHAnsi"/>
              </w:rPr>
              <w:t>services</w:t>
            </w:r>
            <w:r w:rsidR="00A909E0">
              <w:rPr>
                <w:rFonts w:asciiTheme="majorHAnsi" w:hAnsiTheme="majorHAnsi"/>
              </w:rPr>
              <w:t>’</w:t>
            </w:r>
          </w:p>
          <w:p w14:paraId="378E0829" w14:textId="1617CA72" w:rsidR="007124DA" w:rsidRDefault="007124DA" w:rsidP="00E41A0C">
            <w:pPr>
              <w:rPr>
                <w:rFonts w:asciiTheme="majorHAnsi" w:hAnsiTheme="majorHAnsi"/>
              </w:rPr>
            </w:pPr>
            <w:r>
              <w:rPr>
                <w:rFonts w:asciiTheme="majorHAnsi" w:hAnsiTheme="majorHAnsi"/>
              </w:rPr>
              <w:t>Deep dive</w:t>
            </w:r>
          </w:p>
        </w:tc>
        <w:tc>
          <w:tcPr>
            <w:tcW w:w="1206" w:type="dxa"/>
          </w:tcPr>
          <w:p w14:paraId="198F8992" w14:textId="67B1B545" w:rsidR="009F44E7" w:rsidRDefault="00301C85" w:rsidP="00DD7175">
            <w:pPr>
              <w:jc w:val="right"/>
              <w:rPr>
                <w:rFonts w:asciiTheme="majorHAnsi" w:hAnsiTheme="majorHAnsi"/>
              </w:rPr>
            </w:pPr>
            <w:r>
              <w:rPr>
                <w:rFonts w:asciiTheme="majorHAnsi" w:hAnsiTheme="majorHAnsi"/>
              </w:rPr>
              <w:t>5</w:t>
            </w:r>
            <w:r w:rsidR="0080697E">
              <w:rPr>
                <w:rFonts w:asciiTheme="majorHAnsi" w:hAnsiTheme="majorHAnsi"/>
              </w:rPr>
              <w:t>2</w:t>
            </w:r>
          </w:p>
          <w:p w14:paraId="5EDBF019" w14:textId="2784059D" w:rsidR="007124DA" w:rsidRDefault="00301C85" w:rsidP="00DD7175">
            <w:pPr>
              <w:jc w:val="right"/>
              <w:rPr>
                <w:rFonts w:asciiTheme="majorHAnsi" w:hAnsiTheme="majorHAnsi"/>
              </w:rPr>
            </w:pPr>
            <w:r>
              <w:rPr>
                <w:rFonts w:asciiTheme="majorHAnsi" w:hAnsiTheme="majorHAnsi"/>
              </w:rPr>
              <w:t>5</w:t>
            </w:r>
            <w:r w:rsidR="0080697E">
              <w:rPr>
                <w:rFonts w:asciiTheme="majorHAnsi" w:hAnsiTheme="majorHAnsi"/>
              </w:rPr>
              <w:t>7</w:t>
            </w:r>
          </w:p>
        </w:tc>
      </w:tr>
      <w:tr w:rsidR="00B37829" w14:paraId="1ED58E38" w14:textId="77777777" w:rsidTr="00252AFB">
        <w:trPr>
          <w:trHeight w:val="418"/>
        </w:trPr>
        <w:tc>
          <w:tcPr>
            <w:tcW w:w="993" w:type="dxa"/>
            <w:vMerge w:val="restart"/>
          </w:tcPr>
          <w:p w14:paraId="15F2C69F" w14:textId="550BD5D6" w:rsidR="00B37829" w:rsidRDefault="004C7BE1" w:rsidP="003A79C9">
            <w:pPr>
              <w:rPr>
                <w:rFonts w:asciiTheme="majorHAnsi" w:hAnsiTheme="majorHAnsi"/>
              </w:rPr>
            </w:pPr>
            <w:r>
              <w:rPr>
                <w:rFonts w:asciiTheme="majorHAnsi" w:hAnsiTheme="majorHAnsi"/>
              </w:rPr>
              <w:t>5</w:t>
            </w:r>
          </w:p>
        </w:tc>
        <w:tc>
          <w:tcPr>
            <w:tcW w:w="7435" w:type="dxa"/>
          </w:tcPr>
          <w:p w14:paraId="1DBA7B4F" w14:textId="79366A9A" w:rsidR="00B37829" w:rsidRDefault="00B37829" w:rsidP="00E41A0C">
            <w:pPr>
              <w:rPr>
                <w:rFonts w:asciiTheme="majorHAnsi" w:hAnsiTheme="majorHAnsi"/>
              </w:rPr>
            </w:pPr>
            <w:r>
              <w:rPr>
                <w:rFonts w:asciiTheme="majorHAnsi" w:hAnsiTheme="majorHAnsi"/>
              </w:rPr>
              <w:t xml:space="preserve">Themes and analysis </w:t>
            </w:r>
            <w:r w:rsidR="00E41A0C">
              <w:rPr>
                <w:rFonts w:asciiTheme="majorHAnsi" w:hAnsiTheme="majorHAnsi"/>
              </w:rPr>
              <w:t>o</w:t>
            </w:r>
            <w:r>
              <w:rPr>
                <w:rFonts w:asciiTheme="majorHAnsi" w:hAnsiTheme="majorHAnsi"/>
              </w:rPr>
              <w:t>f interview data</w:t>
            </w:r>
          </w:p>
        </w:tc>
        <w:tc>
          <w:tcPr>
            <w:tcW w:w="1206" w:type="dxa"/>
          </w:tcPr>
          <w:p w14:paraId="16194C5C" w14:textId="0ED820F2" w:rsidR="00B37829" w:rsidRDefault="0080697E" w:rsidP="00DD7175">
            <w:pPr>
              <w:jc w:val="right"/>
              <w:rPr>
                <w:rFonts w:asciiTheme="majorHAnsi" w:hAnsiTheme="majorHAnsi"/>
              </w:rPr>
            </w:pPr>
            <w:r>
              <w:rPr>
                <w:rFonts w:asciiTheme="majorHAnsi" w:hAnsiTheme="majorHAnsi"/>
              </w:rPr>
              <w:t>60</w:t>
            </w:r>
          </w:p>
        </w:tc>
      </w:tr>
      <w:tr w:rsidR="00B37829" w14:paraId="4399EBCD" w14:textId="77777777" w:rsidTr="00252AFB">
        <w:trPr>
          <w:trHeight w:val="194"/>
        </w:trPr>
        <w:tc>
          <w:tcPr>
            <w:tcW w:w="993" w:type="dxa"/>
            <w:vMerge/>
          </w:tcPr>
          <w:p w14:paraId="1C0FA001" w14:textId="77777777" w:rsidR="00B37829" w:rsidRDefault="00B37829" w:rsidP="003A79C9">
            <w:pPr>
              <w:rPr>
                <w:rFonts w:asciiTheme="majorHAnsi" w:hAnsiTheme="majorHAnsi"/>
              </w:rPr>
            </w:pPr>
          </w:p>
        </w:tc>
        <w:tc>
          <w:tcPr>
            <w:tcW w:w="7435" w:type="dxa"/>
          </w:tcPr>
          <w:p w14:paraId="1E7A0CF3" w14:textId="42175B44" w:rsidR="00B37829" w:rsidRPr="00A14F5C" w:rsidRDefault="004C7BE1" w:rsidP="00E41A0C">
            <w:pPr>
              <w:rPr>
                <w:rFonts w:asciiTheme="majorHAnsi" w:hAnsiTheme="majorHAnsi"/>
              </w:rPr>
            </w:pPr>
            <w:r w:rsidRPr="00A14F5C">
              <w:rPr>
                <w:rFonts w:asciiTheme="majorHAnsi" w:hAnsiTheme="majorHAnsi"/>
              </w:rPr>
              <w:t>5</w:t>
            </w:r>
            <w:r w:rsidR="00B37829" w:rsidRPr="00A14F5C">
              <w:rPr>
                <w:rFonts w:asciiTheme="majorHAnsi" w:hAnsiTheme="majorHAnsi"/>
              </w:rPr>
              <w:t>.1 Brighton and Hove Context</w:t>
            </w:r>
          </w:p>
        </w:tc>
        <w:tc>
          <w:tcPr>
            <w:tcW w:w="1206" w:type="dxa"/>
          </w:tcPr>
          <w:p w14:paraId="4B4F7DCD" w14:textId="565C9A75" w:rsidR="00B37829" w:rsidRDefault="0080697E" w:rsidP="00DD7175">
            <w:pPr>
              <w:jc w:val="right"/>
              <w:rPr>
                <w:rFonts w:asciiTheme="majorHAnsi" w:hAnsiTheme="majorHAnsi"/>
              </w:rPr>
            </w:pPr>
            <w:r>
              <w:rPr>
                <w:rFonts w:asciiTheme="majorHAnsi" w:hAnsiTheme="majorHAnsi"/>
              </w:rPr>
              <w:t>60</w:t>
            </w:r>
          </w:p>
        </w:tc>
      </w:tr>
      <w:tr w:rsidR="00B37829" w14:paraId="7B199CA1" w14:textId="77777777" w:rsidTr="00252AFB">
        <w:trPr>
          <w:trHeight w:val="194"/>
        </w:trPr>
        <w:tc>
          <w:tcPr>
            <w:tcW w:w="993" w:type="dxa"/>
            <w:vMerge/>
          </w:tcPr>
          <w:p w14:paraId="02F7F882" w14:textId="77777777" w:rsidR="00B37829" w:rsidRDefault="00B37829" w:rsidP="003A79C9">
            <w:pPr>
              <w:rPr>
                <w:rFonts w:asciiTheme="majorHAnsi" w:hAnsiTheme="majorHAnsi"/>
              </w:rPr>
            </w:pPr>
          </w:p>
        </w:tc>
        <w:tc>
          <w:tcPr>
            <w:tcW w:w="7435" w:type="dxa"/>
          </w:tcPr>
          <w:p w14:paraId="7E054F51" w14:textId="289A6199" w:rsidR="00B37829" w:rsidRPr="00A14F5C" w:rsidRDefault="00E86D41" w:rsidP="00E41A0C">
            <w:pPr>
              <w:rPr>
                <w:rFonts w:asciiTheme="majorHAnsi" w:hAnsiTheme="majorHAnsi"/>
              </w:rPr>
            </w:pPr>
            <w:r w:rsidRPr="00A14F5C">
              <w:rPr>
                <w:rFonts w:asciiTheme="majorHAnsi" w:hAnsiTheme="majorHAnsi"/>
              </w:rPr>
              <w:t>5</w:t>
            </w:r>
            <w:r w:rsidR="00B37829" w:rsidRPr="00A14F5C">
              <w:rPr>
                <w:rFonts w:asciiTheme="majorHAnsi" w:hAnsiTheme="majorHAnsi"/>
              </w:rPr>
              <w:t>.2 Masculinities and Other Identities</w:t>
            </w:r>
          </w:p>
        </w:tc>
        <w:tc>
          <w:tcPr>
            <w:tcW w:w="1206" w:type="dxa"/>
          </w:tcPr>
          <w:p w14:paraId="2CC0CA32" w14:textId="399E6727" w:rsidR="00B37829" w:rsidRDefault="00301C85" w:rsidP="00DD7175">
            <w:pPr>
              <w:jc w:val="right"/>
              <w:rPr>
                <w:rFonts w:asciiTheme="majorHAnsi" w:hAnsiTheme="majorHAnsi"/>
              </w:rPr>
            </w:pPr>
            <w:r>
              <w:rPr>
                <w:rFonts w:asciiTheme="majorHAnsi" w:hAnsiTheme="majorHAnsi"/>
              </w:rPr>
              <w:t>6</w:t>
            </w:r>
            <w:r w:rsidR="0080697E">
              <w:rPr>
                <w:rFonts w:asciiTheme="majorHAnsi" w:hAnsiTheme="majorHAnsi"/>
              </w:rPr>
              <w:t>7</w:t>
            </w:r>
          </w:p>
        </w:tc>
      </w:tr>
      <w:tr w:rsidR="00B37829" w14:paraId="090E9BCE" w14:textId="77777777" w:rsidTr="00252AFB">
        <w:trPr>
          <w:trHeight w:val="194"/>
        </w:trPr>
        <w:tc>
          <w:tcPr>
            <w:tcW w:w="993" w:type="dxa"/>
            <w:vMerge/>
          </w:tcPr>
          <w:p w14:paraId="209ABCBC" w14:textId="77777777" w:rsidR="00B37829" w:rsidRDefault="00B37829" w:rsidP="003A79C9">
            <w:pPr>
              <w:rPr>
                <w:rFonts w:asciiTheme="majorHAnsi" w:hAnsiTheme="majorHAnsi"/>
              </w:rPr>
            </w:pPr>
          </w:p>
        </w:tc>
        <w:tc>
          <w:tcPr>
            <w:tcW w:w="7435" w:type="dxa"/>
          </w:tcPr>
          <w:p w14:paraId="6B472FAB" w14:textId="7EC4888F" w:rsidR="00B37829" w:rsidRPr="00A14F5C" w:rsidRDefault="00E86D41" w:rsidP="00E41A0C">
            <w:pPr>
              <w:rPr>
                <w:rFonts w:asciiTheme="majorHAnsi" w:hAnsiTheme="majorHAnsi"/>
              </w:rPr>
            </w:pPr>
            <w:r w:rsidRPr="00A14F5C">
              <w:rPr>
                <w:rFonts w:asciiTheme="majorHAnsi" w:hAnsiTheme="majorHAnsi"/>
              </w:rPr>
              <w:t>5</w:t>
            </w:r>
            <w:r w:rsidR="00B37829" w:rsidRPr="00A14F5C">
              <w:rPr>
                <w:rFonts w:asciiTheme="majorHAnsi" w:hAnsiTheme="majorHAnsi"/>
              </w:rPr>
              <w:t>.3 Family, Home and Care</w:t>
            </w:r>
          </w:p>
        </w:tc>
        <w:tc>
          <w:tcPr>
            <w:tcW w:w="1206" w:type="dxa"/>
          </w:tcPr>
          <w:p w14:paraId="24FC95E1" w14:textId="74CB3EF8" w:rsidR="00B37829" w:rsidRDefault="0080697E" w:rsidP="00DD7175">
            <w:pPr>
              <w:jc w:val="right"/>
              <w:rPr>
                <w:rFonts w:asciiTheme="majorHAnsi" w:hAnsiTheme="majorHAnsi"/>
              </w:rPr>
            </w:pPr>
            <w:r>
              <w:rPr>
                <w:rFonts w:asciiTheme="majorHAnsi" w:hAnsiTheme="majorHAnsi"/>
              </w:rPr>
              <w:t>80</w:t>
            </w:r>
          </w:p>
        </w:tc>
      </w:tr>
      <w:tr w:rsidR="00B37829" w14:paraId="0CADE55B" w14:textId="77777777" w:rsidTr="00252AFB">
        <w:trPr>
          <w:trHeight w:val="194"/>
        </w:trPr>
        <w:tc>
          <w:tcPr>
            <w:tcW w:w="993" w:type="dxa"/>
            <w:vMerge/>
          </w:tcPr>
          <w:p w14:paraId="107BD0C1" w14:textId="77777777" w:rsidR="00B37829" w:rsidRDefault="00B37829" w:rsidP="003A79C9">
            <w:pPr>
              <w:rPr>
                <w:rFonts w:asciiTheme="majorHAnsi" w:hAnsiTheme="majorHAnsi"/>
              </w:rPr>
            </w:pPr>
          </w:p>
        </w:tc>
        <w:tc>
          <w:tcPr>
            <w:tcW w:w="7435" w:type="dxa"/>
          </w:tcPr>
          <w:p w14:paraId="79044850" w14:textId="2D7112F7" w:rsidR="00B37829" w:rsidRPr="00A14F5C" w:rsidRDefault="00E86D41" w:rsidP="00E41A0C">
            <w:pPr>
              <w:rPr>
                <w:rFonts w:asciiTheme="majorHAnsi" w:hAnsiTheme="majorHAnsi"/>
              </w:rPr>
            </w:pPr>
            <w:r w:rsidRPr="00A14F5C">
              <w:rPr>
                <w:rFonts w:asciiTheme="majorHAnsi" w:hAnsiTheme="majorHAnsi"/>
              </w:rPr>
              <w:t>5</w:t>
            </w:r>
            <w:r w:rsidR="00B37829" w:rsidRPr="00A14F5C">
              <w:rPr>
                <w:rFonts w:asciiTheme="majorHAnsi" w:hAnsiTheme="majorHAnsi"/>
              </w:rPr>
              <w:t>.4 Education and Employment</w:t>
            </w:r>
          </w:p>
        </w:tc>
        <w:tc>
          <w:tcPr>
            <w:tcW w:w="1206" w:type="dxa"/>
          </w:tcPr>
          <w:p w14:paraId="34571ADA" w14:textId="343BAF79" w:rsidR="00B37829" w:rsidRDefault="00301C85" w:rsidP="00DD7175">
            <w:pPr>
              <w:jc w:val="right"/>
              <w:rPr>
                <w:rFonts w:asciiTheme="majorHAnsi" w:hAnsiTheme="majorHAnsi"/>
              </w:rPr>
            </w:pPr>
            <w:r>
              <w:rPr>
                <w:rFonts w:asciiTheme="majorHAnsi" w:hAnsiTheme="majorHAnsi"/>
              </w:rPr>
              <w:t>8</w:t>
            </w:r>
            <w:r w:rsidR="0080697E">
              <w:rPr>
                <w:rFonts w:asciiTheme="majorHAnsi" w:hAnsiTheme="majorHAnsi"/>
              </w:rPr>
              <w:t>9</w:t>
            </w:r>
          </w:p>
        </w:tc>
      </w:tr>
      <w:tr w:rsidR="00B37829" w14:paraId="5BF10166" w14:textId="77777777" w:rsidTr="00252AFB">
        <w:trPr>
          <w:trHeight w:val="194"/>
        </w:trPr>
        <w:tc>
          <w:tcPr>
            <w:tcW w:w="993" w:type="dxa"/>
            <w:vMerge/>
          </w:tcPr>
          <w:p w14:paraId="74A6CADD" w14:textId="77777777" w:rsidR="00B37829" w:rsidRDefault="00B37829" w:rsidP="003A79C9">
            <w:pPr>
              <w:rPr>
                <w:rFonts w:asciiTheme="majorHAnsi" w:hAnsiTheme="majorHAnsi"/>
              </w:rPr>
            </w:pPr>
          </w:p>
        </w:tc>
        <w:tc>
          <w:tcPr>
            <w:tcW w:w="7435" w:type="dxa"/>
          </w:tcPr>
          <w:p w14:paraId="3DC16AFC" w14:textId="77C90D19" w:rsidR="00B37829" w:rsidRPr="00A14F5C" w:rsidRDefault="00E86D41" w:rsidP="00B37829">
            <w:pPr>
              <w:rPr>
                <w:rFonts w:asciiTheme="majorHAnsi" w:hAnsiTheme="majorHAnsi"/>
              </w:rPr>
            </w:pPr>
            <w:r w:rsidRPr="00A14F5C">
              <w:rPr>
                <w:rFonts w:asciiTheme="majorHAnsi" w:hAnsiTheme="majorHAnsi"/>
              </w:rPr>
              <w:t>5</w:t>
            </w:r>
            <w:r w:rsidR="00B37829" w:rsidRPr="00A14F5C">
              <w:rPr>
                <w:rFonts w:asciiTheme="majorHAnsi" w:hAnsiTheme="majorHAnsi"/>
              </w:rPr>
              <w:t>.5 Mental Health and Substance Abuse</w:t>
            </w:r>
          </w:p>
        </w:tc>
        <w:tc>
          <w:tcPr>
            <w:tcW w:w="1206" w:type="dxa"/>
          </w:tcPr>
          <w:p w14:paraId="40321233" w14:textId="70C786B3" w:rsidR="00B37829" w:rsidRDefault="00301C85" w:rsidP="00DD7175">
            <w:pPr>
              <w:jc w:val="right"/>
              <w:rPr>
                <w:rFonts w:asciiTheme="majorHAnsi" w:hAnsiTheme="majorHAnsi"/>
              </w:rPr>
            </w:pPr>
            <w:r>
              <w:rPr>
                <w:rFonts w:asciiTheme="majorHAnsi" w:hAnsiTheme="majorHAnsi"/>
              </w:rPr>
              <w:t>9</w:t>
            </w:r>
            <w:r w:rsidR="0080697E">
              <w:rPr>
                <w:rFonts w:asciiTheme="majorHAnsi" w:hAnsiTheme="majorHAnsi"/>
              </w:rPr>
              <w:t>6</w:t>
            </w:r>
          </w:p>
        </w:tc>
      </w:tr>
      <w:tr w:rsidR="00B37829" w14:paraId="1A1910F7" w14:textId="77777777" w:rsidTr="00252AFB">
        <w:trPr>
          <w:trHeight w:val="194"/>
        </w:trPr>
        <w:tc>
          <w:tcPr>
            <w:tcW w:w="993" w:type="dxa"/>
            <w:vMerge/>
          </w:tcPr>
          <w:p w14:paraId="06448477" w14:textId="77777777" w:rsidR="00B37829" w:rsidRDefault="00B37829" w:rsidP="003A79C9">
            <w:pPr>
              <w:rPr>
                <w:rFonts w:asciiTheme="majorHAnsi" w:hAnsiTheme="majorHAnsi"/>
              </w:rPr>
            </w:pPr>
          </w:p>
        </w:tc>
        <w:tc>
          <w:tcPr>
            <w:tcW w:w="7435" w:type="dxa"/>
          </w:tcPr>
          <w:p w14:paraId="0D9A89BF" w14:textId="19AB097A" w:rsidR="00B37829" w:rsidRPr="00A14F5C" w:rsidRDefault="00E86D41" w:rsidP="00E41A0C">
            <w:pPr>
              <w:rPr>
                <w:rFonts w:asciiTheme="majorHAnsi" w:hAnsiTheme="majorHAnsi"/>
              </w:rPr>
            </w:pPr>
            <w:r w:rsidRPr="00A14F5C">
              <w:rPr>
                <w:rFonts w:asciiTheme="majorHAnsi" w:hAnsiTheme="majorHAnsi"/>
              </w:rPr>
              <w:t>5</w:t>
            </w:r>
            <w:r w:rsidR="00B37829" w:rsidRPr="00A14F5C">
              <w:rPr>
                <w:rFonts w:asciiTheme="majorHAnsi" w:hAnsiTheme="majorHAnsi"/>
              </w:rPr>
              <w:t>.</w:t>
            </w:r>
            <w:r w:rsidR="001B38FD" w:rsidRPr="00A14F5C">
              <w:rPr>
                <w:rFonts w:asciiTheme="majorHAnsi" w:hAnsiTheme="majorHAnsi"/>
              </w:rPr>
              <w:t>6</w:t>
            </w:r>
            <w:r w:rsidR="00B37829" w:rsidRPr="00A14F5C">
              <w:rPr>
                <w:rFonts w:asciiTheme="majorHAnsi" w:hAnsiTheme="majorHAnsi"/>
              </w:rPr>
              <w:t xml:space="preserve"> Offending, Criminalisation and Exploitation</w:t>
            </w:r>
          </w:p>
        </w:tc>
        <w:tc>
          <w:tcPr>
            <w:tcW w:w="1206" w:type="dxa"/>
          </w:tcPr>
          <w:p w14:paraId="7CA326EB" w14:textId="318787C0" w:rsidR="00B37829" w:rsidRDefault="00301C85" w:rsidP="00DD7175">
            <w:pPr>
              <w:jc w:val="right"/>
              <w:rPr>
                <w:rFonts w:asciiTheme="majorHAnsi" w:hAnsiTheme="majorHAnsi"/>
              </w:rPr>
            </w:pPr>
            <w:r>
              <w:rPr>
                <w:rFonts w:asciiTheme="majorHAnsi" w:hAnsiTheme="majorHAnsi"/>
              </w:rPr>
              <w:t>10</w:t>
            </w:r>
            <w:r w:rsidR="0080697E">
              <w:rPr>
                <w:rFonts w:asciiTheme="majorHAnsi" w:hAnsiTheme="majorHAnsi"/>
              </w:rPr>
              <w:t>5</w:t>
            </w:r>
          </w:p>
        </w:tc>
      </w:tr>
      <w:tr w:rsidR="00B37829" w14:paraId="36AC3100" w14:textId="77777777" w:rsidTr="00252AFB">
        <w:trPr>
          <w:trHeight w:val="194"/>
        </w:trPr>
        <w:tc>
          <w:tcPr>
            <w:tcW w:w="993" w:type="dxa"/>
            <w:vMerge/>
          </w:tcPr>
          <w:p w14:paraId="4EAC967E" w14:textId="77777777" w:rsidR="00B37829" w:rsidRDefault="00B37829" w:rsidP="003A79C9">
            <w:pPr>
              <w:rPr>
                <w:rFonts w:asciiTheme="majorHAnsi" w:hAnsiTheme="majorHAnsi"/>
              </w:rPr>
            </w:pPr>
          </w:p>
        </w:tc>
        <w:tc>
          <w:tcPr>
            <w:tcW w:w="7435" w:type="dxa"/>
          </w:tcPr>
          <w:p w14:paraId="4E16338B" w14:textId="322AA8F5" w:rsidR="00B37829" w:rsidRPr="00A14F5C" w:rsidRDefault="00E86D41" w:rsidP="00E41A0C">
            <w:pPr>
              <w:rPr>
                <w:rFonts w:asciiTheme="majorHAnsi" w:hAnsiTheme="majorHAnsi"/>
              </w:rPr>
            </w:pPr>
            <w:r w:rsidRPr="00A14F5C">
              <w:rPr>
                <w:rFonts w:asciiTheme="majorHAnsi" w:hAnsiTheme="majorHAnsi"/>
              </w:rPr>
              <w:t>5</w:t>
            </w:r>
            <w:r w:rsidR="00B37829" w:rsidRPr="00A14F5C">
              <w:rPr>
                <w:rFonts w:asciiTheme="majorHAnsi" w:hAnsiTheme="majorHAnsi"/>
              </w:rPr>
              <w:t>.</w:t>
            </w:r>
            <w:r w:rsidR="001B38FD" w:rsidRPr="00A14F5C">
              <w:rPr>
                <w:rFonts w:asciiTheme="majorHAnsi" w:hAnsiTheme="majorHAnsi"/>
              </w:rPr>
              <w:t>7</w:t>
            </w:r>
            <w:r w:rsidR="00B37829" w:rsidRPr="00A14F5C">
              <w:rPr>
                <w:rFonts w:asciiTheme="majorHAnsi" w:hAnsiTheme="majorHAnsi"/>
              </w:rPr>
              <w:t xml:space="preserve"> </w:t>
            </w:r>
            <w:r w:rsidR="00E41A0C" w:rsidRPr="00A14F5C">
              <w:rPr>
                <w:rFonts w:asciiTheme="majorHAnsi" w:hAnsiTheme="majorHAnsi"/>
              </w:rPr>
              <w:t>Engaging and Intervening</w:t>
            </w:r>
          </w:p>
        </w:tc>
        <w:tc>
          <w:tcPr>
            <w:tcW w:w="1206" w:type="dxa"/>
          </w:tcPr>
          <w:p w14:paraId="44C4382F" w14:textId="376F9B01" w:rsidR="00B37829" w:rsidRDefault="00301C85" w:rsidP="00DD7175">
            <w:pPr>
              <w:jc w:val="right"/>
              <w:rPr>
                <w:rFonts w:asciiTheme="majorHAnsi" w:hAnsiTheme="majorHAnsi"/>
              </w:rPr>
            </w:pPr>
            <w:r>
              <w:rPr>
                <w:rFonts w:asciiTheme="majorHAnsi" w:hAnsiTheme="majorHAnsi"/>
              </w:rPr>
              <w:t>11</w:t>
            </w:r>
            <w:r w:rsidR="0080697E">
              <w:rPr>
                <w:rFonts w:asciiTheme="majorHAnsi" w:hAnsiTheme="majorHAnsi"/>
              </w:rPr>
              <w:t>8</w:t>
            </w:r>
          </w:p>
        </w:tc>
      </w:tr>
      <w:tr w:rsidR="009820FA" w14:paraId="73CE6C23" w14:textId="77777777" w:rsidTr="00252AFB">
        <w:trPr>
          <w:trHeight w:val="426"/>
        </w:trPr>
        <w:tc>
          <w:tcPr>
            <w:tcW w:w="993" w:type="dxa"/>
            <w:vMerge/>
          </w:tcPr>
          <w:p w14:paraId="06E0A33F" w14:textId="77777777" w:rsidR="009820FA" w:rsidRDefault="009820FA" w:rsidP="003A79C9">
            <w:pPr>
              <w:rPr>
                <w:rFonts w:asciiTheme="majorHAnsi" w:hAnsiTheme="majorHAnsi"/>
              </w:rPr>
            </w:pPr>
          </w:p>
        </w:tc>
        <w:tc>
          <w:tcPr>
            <w:tcW w:w="7435" w:type="dxa"/>
          </w:tcPr>
          <w:p w14:paraId="72E35DFB" w14:textId="2E40A27C" w:rsidR="009820FA" w:rsidRPr="00A14F5C" w:rsidRDefault="00E86D41" w:rsidP="00E41A0C">
            <w:pPr>
              <w:rPr>
                <w:rFonts w:asciiTheme="majorHAnsi" w:hAnsiTheme="majorHAnsi"/>
              </w:rPr>
            </w:pPr>
            <w:r w:rsidRPr="00A14F5C">
              <w:rPr>
                <w:rFonts w:asciiTheme="majorHAnsi" w:hAnsiTheme="majorHAnsi"/>
              </w:rPr>
              <w:t>5</w:t>
            </w:r>
            <w:r w:rsidR="009820FA" w:rsidRPr="00A14F5C">
              <w:rPr>
                <w:rFonts w:asciiTheme="majorHAnsi" w:hAnsiTheme="majorHAnsi"/>
              </w:rPr>
              <w:t>.</w:t>
            </w:r>
            <w:r w:rsidR="00D12387" w:rsidRPr="00A14F5C">
              <w:rPr>
                <w:rFonts w:asciiTheme="majorHAnsi" w:hAnsiTheme="majorHAnsi"/>
              </w:rPr>
              <w:t>8</w:t>
            </w:r>
            <w:r w:rsidR="009820FA" w:rsidRPr="00A14F5C">
              <w:rPr>
                <w:rFonts w:asciiTheme="majorHAnsi" w:hAnsiTheme="majorHAnsi"/>
              </w:rPr>
              <w:t xml:space="preserve"> Service Provision</w:t>
            </w:r>
          </w:p>
        </w:tc>
        <w:tc>
          <w:tcPr>
            <w:tcW w:w="1206" w:type="dxa"/>
          </w:tcPr>
          <w:p w14:paraId="17996BEF" w14:textId="4F9A4F6D" w:rsidR="009820FA" w:rsidRDefault="00301C85" w:rsidP="00DD7175">
            <w:pPr>
              <w:jc w:val="right"/>
              <w:rPr>
                <w:rFonts w:asciiTheme="majorHAnsi" w:hAnsiTheme="majorHAnsi"/>
              </w:rPr>
            </w:pPr>
            <w:r>
              <w:rPr>
                <w:rFonts w:asciiTheme="majorHAnsi" w:hAnsiTheme="majorHAnsi"/>
              </w:rPr>
              <w:t>12</w:t>
            </w:r>
            <w:r w:rsidR="0080697E">
              <w:rPr>
                <w:rFonts w:asciiTheme="majorHAnsi" w:hAnsiTheme="majorHAnsi"/>
              </w:rPr>
              <w:t>5</w:t>
            </w:r>
          </w:p>
        </w:tc>
      </w:tr>
      <w:tr w:rsidR="009F44E7" w14:paraId="514625B5" w14:textId="77777777" w:rsidTr="00252AFB">
        <w:tc>
          <w:tcPr>
            <w:tcW w:w="993" w:type="dxa"/>
          </w:tcPr>
          <w:p w14:paraId="01BDB564" w14:textId="06FC15FE" w:rsidR="009F44E7" w:rsidRDefault="00E86D41" w:rsidP="003A79C9">
            <w:pPr>
              <w:rPr>
                <w:rFonts w:asciiTheme="majorHAnsi" w:hAnsiTheme="majorHAnsi"/>
              </w:rPr>
            </w:pPr>
            <w:r>
              <w:rPr>
                <w:rFonts w:asciiTheme="majorHAnsi" w:hAnsiTheme="majorHAnsi"/>
              </w:rPr>
              <w:t>6</w:t>
            </w:r>
          </w:p>
        </w:tc>
        <w:tc>
          <w:tcPr>
            <w:tcW w:w="7435" w:type="dxa"/>
          </w:tcPr>
          <w:p w14:paraId="65E475E6" w14:textId="25FD1166" w:rsidR="009F44E7" w:rsidRDefault="00E41A0C" w:rsidP="00E41A0C">
            <w:pPr>
              <w:rPr>
                <w:rFonts w:asciiTheme="majorHAnsi" w:hAnsiTheme="majorHAnsi"/>
              </w:rPr>
            </w:pPr>
            <w:r>
              <w:rPr>
                <w:rFonts w:asciiTheme="majorHAnsi" w:hAnsiTheme="majorHAnsi"/>
              </w:rPr>
              <w:t xml:space="preserve">Conclusions </w:t>
            </w:r>
          </w:p>
        </w:tc>
        <w:tc>
          <w:tcPr>
            <w:tcW w:w="1206" w:type="dxa"/>
          </w:tcPr>
          <w:p w14:paraId="088BD7B8" w14:textId="6DE5EF2C" w:rsidR="009F44E7" w:rsidRDefault="00D12387" w:rsidP="00DD7175">
            <w:pPr>
              <w:jc w:val="right"/>
              <w:rPr>
                <w:rFonts w:asciiTheme="majorHAnsi" w:hAnsiTheme="majorHAnsi"/>
              </w:rPr>
            </w:pPr>
            <w:r>
              <w:rPr>
                <w:rFonts w:asciiTheme="majorHAnsi" w:hAnsiTheme="majorHAnsi"/>
              </w:rPr>
              <w:t>1</w:t>
            </w:r>
            <w:r w:rsidR="00301C85">
              <w:rPr>
                <w:rFonts w:asciiTheme="majorHAnsi" w:hAnsiTheme="majorHAnsi"/>
              </w:rPr>
              <w:t>3</w:t>
            </w:r>
            <w:r w:rsidR="0080697E">
              <w:rPr>
                <w:rFonts w:asciiTheme="majorHAnsi" w:hAnsiTheme="majorHAnsi"/>
              </w:rPr>
              <w:t>4</w:t>
            </w:r>
          </w:p>
        </w:tc>
      </w:tr>
      <w:tr w:rsidR="009F44E7" w14:paraId="04B1D706" w14:textId="77777777" w:rsidTr="00252AFB">
        <w:tc>
          <w:tcPr>
            <w:tcW w:w="993" w:type="dxa"/>
          </w:tcPr>
          <w:p w14:paraId="0B217A7B" w14:textId="0897616C" w:rsidR="009F44E7" w:rsidRDefault="00E86D41" w:rsidP="003A79C9">
            <w:pPr>
              <w:rPr>
                <w:rFonts w:asciiTheme="majorHAnsi" w:hAnsiTheme="majorHAnsi"/>
              </w:rPr>
            </w:pPr>
            <w:r>
              <w:rPr>
                <w:rFonts w:asciiTheme="majorHAnsi" w:hAnsiTheme="majorHAnsi"/>
              </w:rPr>
              <w:t>7</w:t>
            </w:r>
          </w:p>
        </w:tc>
        <w:tc>
          <w:tcPr>
            <w:tcW w:w="7435" w:type="dxa"/>
          </w:tcPr>
          <w:p w14:paraId="1E647F7A" w14:textId="6A01D845" w:rsidR="009F44E7" w:rsidRDefault="00B37829" w:rsidP="00E41A0C">
            <w:pPr>
              <w:rPr>
                <w:rFonts w:asciiTheme="majorHAnsi" w:hAnsiTheme="majorHAnsi"/>
              </w:rPr>
            </w:pPr>
            <w:r>
              <w:rPr>
                <w:rFonts w:asciiTheme="majorHAnsi" w:hAnsiTheme="majorHAnsi"/>
              </w:rPr>
              <w:t>Reference list</w:t>
            </w:r>
          </w:p>
        </w:tc>
        <w:tc>
          <w:tcPr>
            <w:tcW w:w="1206" w:type="dxa"/>
          </w:tcPr>
          <w:p w14:paraId="107B270B" w14:textId="29155E60" w:rsidR="009F44E7" w:rsidRDefault="00301C85" w:rsidP="00DD7175">
            <w:pPr>
              <w:jc w:val="right"/>
              <w:rPr>
                <w:rFonts w:asciiTheme="majorHAnsi" w:hAnsiTheme="majorHAnsi"/>
              </w:rPr>
            </w:pPr>
            <w:r>
              <w:rPr>
                <w:rFonts w:asciiTheme="majorHAnsi" w:hAnsiTheme="majorHAnsi"/>
              </w:rPr>
              <w:t>14</w:t>
            </w:r>
            <w:r w:rsidR="0080697E">
              <w:rPr>
                <w:rFonts w:asciiTheme="majorHAnsi" w:hAnsiTheme="majorHAnsi"/>
              </w:rPr>
              <w:t>9</w:t>
            </w:r>
          </w:p>
        </w:tc>
      </w:tr>
      <w:tr w:rsidR="00131488" w14:paraId="2ACAEDF0" w14:textId="77777777" w:rsidTr="00252AFB">
        <w:tc>
          <w:tcPr>
            <w:tcW w:w="993" w:type="dxa"/>
          </w:tcPr>
          <w:p w14:paraId="169E4987" w14:textId="1E90A67D" w:rsidR="00131488" w:rsidRDefault="00E86D41" w:rsidP="003A79C9">
            <w:pPr>
              <w:rPr>
                <w:rFonts w:asciiTheme="majorHAnsi" w:hAnsiTheme="majorHAnsi"/>
              </w:rPr>
            </w:pPr>
            <w:r>
              <w:rPr>
                <w:rFonts w:asciiTheme="majorHAnsi" w:hAnsiTheme="majorHAnsi"/>
              </w:rPr>
              <w:t>8</w:t>
            </w:r>
          </w:p>
          <w:p w14:paraId="6F68EA17" w14:textId="77777777" w:rsidR="004C7BE1" w:rsidRDefault="004C7BE1" w:rsidP="003A79C9">
            <w:pPr>
              <w:rPr>
                <w:rFonts w:asciiTheme="majorHAnsi" w:hAnsiTheme="majorHAnsi"/>
              </w:rPr>
            </w:pPr>
          </w:p>
          <w:p w14:paraId="65C8748C" w14:textId="4C191830" w:rsidR="004C7BE1" w:rsidRDefault="004C7BE1" w:rsidP="003A79C9">
            <w:pPr>
              <w:rPr>
                <w:rFonts w:asciiTheme="majorHAnsi" w:hAnsiTheme="majorHAnsi"/>
              </w:rPr>
            </w:pPr>
          </w:p>
        </w:tc>
        <w:tc>
          <w:tcPr>
            <w:tcW w:w="7435" w:type="dxa"/>
          </w:tcPr>
          <w:p w14:paraId="619EAED2" w14:textId="67BDC16E" w:rsidR="004C7BE1" w:rsidRDefault="00131488" w:rsidP="00E41A0C">
            <w:pPr>
              <w:rPr>
                <w:rFonts w:asciiTheme="majorHAnsi" w:hAnsiTheme="majorHAnsi"/>
              </w:rPr>
            </w:pPr>
            <w:r>
              <w:rPr>
                <w:rFonts w:asciiTheme="majorHAnsi" w:hAnsiTheme="majorHAnsi"/>
              </w:rPr>
              <w:t xml:space="preserve">Appendix 1: </w:t>
            </w:r>
            <w:r w:rsidR="004C7BE1">
              <w:rPr>
                <w:rFonts w:asciiTheme="majorHAnsi" w:hAnsiTheme="majorHAnsi"/>
              </w:rPr>
              <w:t xml:space="preserve">Demographic and other relevant data regarding Brighton and Hove </w:t>
            </w:r>
          </w:p>
          <w:p w14:paraId="562BFBC5" w14:textId="5AC1FD45" w:rsidR="004C7BE1" w:rsidRDefault="004C7BE1" w:rsidP="00E41A0C">
            <w:pPr>
              <w:rPr>
                <w:rFonts w:asciiTheme="majorHAnsi" w:hAnsiTheme="majorHAnsi"/>
              </w:rPr>
            </w:pPr>
          </w:p>
        </w:tc>
        <w:tc>
          <w:tcPr>
            <w:tcW w:w="1206" w:type="dxa"/>
          </w:tcPr>
          <w:p w14:paraId="70669765" w14:textId="3A012875" w:rsidR="00131488" w:rsidRDefault="0080697E" w:rsidP="003A79C9">
            <w:pPr>
              <w:jc w:val="right"/>
              <w:rPr>
                <w:rFonts w:asciiTheme="majorHAnsi" w:hAnsiTheme="majorHAnsi"/>
              </w:rPr>
            </w:pPr>
            <w:r>
              <w:rPr>
                <w:rFonts w:asciiTheme="majorHAnsi" w:hAnsiTheme="majorHAnsi"/>
              </w:rPr>
              <w:t>161</w:t>
            </w:r>
          </w:p>
        </w:tc>
      </w:tr>
      <w:tr w:rsidR="004C7BE1" w14:paraId="64252F54" w14:textId="77777777" w:rsidTr="00252AFB">
        <w:tc>
          <w:tcPr>
            <w:tcW w:w="993" w:type="dxa"/>
          </w:tcPr>
          <w:p w14:paraId="41244E63" w14:textId="77777777" w:rsidR="004C7BE1" w:rsidRDefault="004C7BE1" w:rsidP="003A79C9">
            <w:pPr>
              <w:rPr>
                <w:rFonts w:asciiTheme="majorHAnsi" w:hAnsiTheme="majorHAnsi"/>
              </w:rPr>
            </w:pPr>
          </w:p>
        </w:tc>
        <w:tc>
          <w:tcPr>
            <w:tcW w:w="7435" w:type="dxa"/>
          </w:tcPr>
          <w:p w14:paraId="28DFF9AB" w14:textId="77777777" w:rsidR="004C7BE1" w:rsidRDefault="004C7BE1" w:rsidP="00E41A0C">
            <w:pPr>
              <w:rPr>
                <w:rFonts w:asciiTheme="majorHAnsi" w:hAnsiTheme="majorHAnsi"/>
              </w:rPr>
            </w:pPr>
          </w:p>
        </w:tc>
        <w:tc>
          <w:tcPr>
            <w:tcW w:w="1206" w:type="dxa"/>
          </w:tcPr>
          <w:p w14:paraId="3379D676" w14:textId="77777777" w:rsidR="004C7BE1" w:rsidRDefault="004C7BE1" w:rsidP="003A79C9">
            <w:pPr>
              <w:jc w:val="right"/>
              <w:rPr>
                <w:rFonts w:asciiTheme="majorHAnsi" w:hAnsiTheme="majorHAnsi"/>
              </w:rPr>
            </w:pPr>
          </w:p>
        </w:tc>
      </w:tr>
    </w:tbl>
    <w:p w14:paraId="6D080AB4" w14:textId="36151CE9" w:rsidR="00301C85" w:rsidRDefault="00301C85" w:rsidP="00301C85">
      <w:pPr>
        <w:rPr>
          <w:rFonts w:asciiTheme="majorHAnsi" w:hAnsiTheme="majorHAnsi"/>
        </w:rPr>
      </w:pPr>
    </w:p>
    <w:p w14:paraId="016B7ECB" w14:textId="4FF2D655" w:rsidR="00301C85" w:rsidRPr="006D71AF" w:rsidRDefault="00301C85">
      <w:pPr>
        <w:rPr>
          <w:rFonts w:asciiTheme="majorHAnsi" w:hAnsiTheme="majorHAnsi"/>
        </w:rPr>
      </w:pPr>
      <w:r>
        <w:rPr>
          <w:rFonts w:asciiTheme="majorHAnsi" w:hAnsiTheme="majorHAnsi"/>
        </w:rPr>
        <w:br w:type="page"/>
      </w:r>
      <w:r>
        <w:rPr>
          <w:rFonts w:asciiTheme="majorHAnsi" w:hAnsiTheme="majorHAnsi" w:cstheme="minorHAnsi"/>
          <w:b/>
          <w:bCs/>
          <w:color w:val="000000" w:themeColor="text1"/>
        </w:rPr>
        <w:lastRenderedPageBreak/>
        <w:t>Acknowledgements</w:t>
      </w:r>
    </w:p>
    <w:p w14:paraId="23D5D75D" w14:textId="038CEC3B" w:rsidR="00301C85" w:rsidRPr="00924D35" w:rsidRDefault="00301C85">
      <w:pPr>
        <w:rPr>
          <w:rFonts w:asciiTheme="majorHAnsi" w:hAnsiTheme="majorHAnsi" w:cstheme="minorHAnsi"/>
          <w:b/>
          <w:bCs/>
          <w:color w:val="000000" w:themeColor="text1"/>
          <w:sz w:val="12"/>
          <w:szCs w:val="12"/>
        </w:rPr>
      </w:pPr>
    </w:p>
    <w:p w14:paraId="483B25CA" w14:textId="4FDFB94C" w:rsidR="006D444F" w:rsidRPr="00924D35" w:rsidRDefault="006D444F" w:rsidP="006D444F">
      <w:pPr>
        <w:rPr>
          <w:rFonts w:asciiTheme="majorHAnsi" w:hAnsiTheme="majorHAnsi" w:cstheme="majorHAnsi"/>
          <w:color w:val="000000" w:themeColor="text1"/>
          <w:sz w:val="22"/>
          <w:szCs w:val="22"/>
        </w:rPr>
      </w:pPr>
      <w:r w:rsidRPr="00924D35">
        <w:rPr>
          <w:rFonts w:asciiTheme="majorHAnsi" w:hAnsiTheme="majorHAnsi" w:cstheme="majorHAnsi"/>
          <w:color w:val="000000" w:themeColor="text1"/>
          <w:sz w:val="22"/>
          <w:szCs w:val="22"/>
        </w:rPr>
        <w:t xml:space="preserve">The report authors would like to acknowledge the significant contributions made by project Steering Group members throughout the course of the study – for their </w:t>
      </w:r>
      <w:r w:rsidR="00FC3D08" w:rsidRPr="00924D35">
        <w:rPr>
          <w:rFonts w:asciiTheme="majorHAnsi" w:hAnsiTheme="majorHAnsi" w:cstheme="majorHAnsi"/>
          <w:color w:val="000000" w:themeColor="text1"/>
          <w:sz w:val="22"/>
          <w:szCs w:val="22"/>
        </w:rPr>
        <w:t>support,</w:t>
      </w:r>
      <w:r w:rsidRPr="00924D35">
        <w:rPr>
          <w:rFonts w:asciiTheme="majorHAnsi" w:hAnsiTheme="majorHAnsi" w:cstheme="majorHAnsi"/>
          <w:color w:val="000000" w:themeColor="text1"/>
          <w:sz w:val="22"/>
          <w:szCs w:val="22"/>
        </w:rPr>
        <w:t xml:space="preserve"> direction and critical collegiality. The group changed its membership over the course of the project, and so in addition to all those that helped along the way, we would like to give particular thanks to:</w:t>
      </w:r>
    </w:p>
    <w:p w14:paraId="2025A308" w14:textId="77777777" w:rsidR="006D444F" w:rsidRPr="00924D35" w:rsidRDefault="006D444F" w:rsidP="006D444F">
      <w:pPr>
        <w:rPr>
          <w:rFonts w:asciiTheme="majorHAnsi" w:hAnsiTheme="majorHAnsi" w:cstheme="majorHAnsi"/>
          <w:color w:val="000000" w:themeColor="text1"/>
          <w:sz w:val="22"/>
          <w:szCs w:val="22"/>
        </w:rPr>
      </w:pPr>
    </w:p>
    <w:p w14:paraId="5EEC2BEB"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Louise Arnell</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Pebble Trust</w:t>
      </w:r>
    </w:p>
    <w:p w14:paraId="255DB130"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Deb Austin</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Brighton and Hove City Council</w:t>
      </w:r>
    </w:p>
    <w:p w14:paraId="1663379C" w14:textId="65E048D5"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Carolyn Bristow</w:t>
      </w:r>
      <w:r w:rsidRPr="00924D35">
        <w:rPr>
          <w:rFonts w:asciiTheme="majorHAnsi" w:hAnsiTheme="majorHAnsi" w:cstheme="majorHAnsi"/>
          <w:color w:val="000000"/>
          <w:sz w:val="22"/>
          <w:szCs w:val="22"/>
        </w:rPr>
        <w:tab/>
      </w:r>
      <w:r w:rsidR="00846131">
        <w:rPr>
          <w:rFonts w:asciiTheme="majorHAnsi" w:hAnsiTheme="majorHAnsi" w:cstheme="majorHAnsi"/>
          <w:color w:val="000000"/>
          <w:sz w:val="22"/>
          <w:szCs w:val="22"/>
        </w:rPr>
        <w:tab/>
      </w:r>
      <w:r w:rsidRPr="00924D35">
        <w:rPr>
          <w:rFonts w:asciiTheme="majorHAnsi" w:hAnsiTheme="majorHAnsi" w:cstheme="majorHAnsi"/>
          <w:color w:val="000000"/>
          <w:sz w:val="22"/>
          <w:szCs w:val="22"/>
        </w:rPr>
        <w:t>Brighton and Hove City Council</w:t>
      </w:r>
    </w:p>
    <w:p w14:paraId="775925D9"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Toby Buckle (Chair)</w:t>
      </w:r>
      <w:r w:rsidRPr="00924D35">
        <w:rPr>
          <w:rFonts w:asciiTheme="majorHAnsi" w:hAnsiTheme="majorHAnsi" w:cstheme="majorHAnsi"/>
          <w:color w:val="000000"/>
          <w:sz w:val="22"/>
          <w:szCs w:val="22"/>
        </w:rPr>
        <w:tab/>
        <w:t>Better Brighton &amp; Hove</w:t>
      </w:r>
    </w:p>
    <w:p w14:paraId="320DEF4B"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Grace Cox</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Office of Sussex Police &amp; Crime Commissioner</w:t>
      </w:r>
    </w:p>
    <w:p w14:paraId="5BA1D4A7"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Mark Cull</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YMCA DownsLink Group</w:t>
      </w:r>
    </w:p>
    <w:p w14:paraId="6A6804A6"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 xml:space="preserve">Anna Gianfrancesco, </w:t>
      </w:r>
      <w:r w:rsidRPr="00924D35">
        <w:rPr>
          <w:rFonts w:asciiTheme="majorHAnsi" w:hAnsiTheme="majorHAnsi" w:cstheme="majorHAnsi"/>
          <w:color w:val="000000"/>
          <w:sz w:val="22"/>
          <w:szCs w:val="22"/>
        </w:rPr>
        <w:tab/>
        <w:t>Brighton and Hove City Council</w:t>
      </w:r>
    </w:p>
    <w:p w14:paraId="3387496B"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Alistair Hill</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Brighton and Hove City Council</w:t>
      </w:r>
    </w:p>
    <w:p w14:paraId="68186409"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Kate Hopkins</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Brighton and Hove City Council</w:t>
      </w:r>
    </w:p>
    <w:p w14:paraId="0AC2A921"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Jo Martindale</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Hangleton &amp; Knoll Project</w:t>
      </w:r>
    </w:p>
    <w:p w14:paraId="68DF1421"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Adam Muirhead</w:t>
      </w:r>
      <w:r w:rsidRPr="00924D35">
        <w:rPr>
          <w:rFonts w:asciiTheme="majorHAnsi" w:hAnsiTheme="majorHAnsi" w:cstheme="majorHAnsi"/>
          <w:color w:val="000000"/>
          <w:sz w:val="22"/>
          <w:szCs w:val="22"/>
        </w:rPr>
        <w:tab/>
        <w:t>Trust for Developing Communities</w:t>
      </w:r>
    </w:p>
    <w:p w14:paraId="51141838" w14:textId="77777777"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Tania Riedel</w:t>
      </w:r>
      <w:r w:rsidRPr="00924D35">
        <w:rPr>
          <w:rFonts w:asciiTheme="majorHAnsi" w:hAnsiTheme="majorHAnsi" w:cstheme="majorHAnsi"/>
          <w:color w:val="000000"/>
          <w:sz w:val="22"/>
          <w:szCs w:val="22"/>
        </w:rPr>
        <w:tab/>
      </w:r>
      <w:r w:rsidRPr="00924D35">
        <w:rPr>
          <w:rFonts w:asciiTheme="majorHAnsi" w:hAnsiTheme="majorHAnsi" w:cstheme="majorHAnsi"/>
          <w:color w:val="000000"/>
          <w:sz w:val="22"/>
          <w:szCs w:val="22"/>
        </w:rPr>
        <w:tab/>
        <w:t>Brighton and Hove City Council</w:t>
      </w:r>
    </w:p>
    <w:p w14:paraId="0AF1FB35" w14:textId="6F608BCE" w:rsidR="006D444F" w:rsidRPr="00924D35" w:rsidRDefault="006D444F" w:rsidP="006D444F">
      <w:pPr>
        <w:pStyle w:val="NormalWeb"/>
        <w:ind w:left="720"/>
        <w:rPr>
          <w:rFonts w:asciiTheme="majorHAnsi" w:hAnsiTheme="majorHAnsi" w:cstheme="majorHAnsi"/>
          <w:color w:val="000000"/>
          <w:sz w:val="22"/>
          <w:szCs w:val="22"/>
        </w:rPr>
      </w:pPr>
      <w:r w:rsidRPr="00924D35">
        <w:rPr>
          <w:rFonts w:asciiTheme="majorHAnsi" w:hAnsiTheme="majorHAnsi" w:cstheme="majorHAnsi"/>
          <w:color w:val="000000"/>
          <w:sz w:val="22"/>
          <w:szCs w:val="22"/>
        </w:rPr>
        <w:t>Nathan Roberts</w:t>
      </w:r>
      <w:r w:rsidRPr="00924D35">
        <w:rPr>
          <w:rFonts w:asciiTheme="majorHAnsi" w:hAnsiTheme="majorHAnsi" w:cstheme="majorHAnsi"/>
          <w:color w:val="000000"/>
          <w:sz w:val="22"/>
          <w:szCs w:val="22"/>
        </w:rPr>
        <w:tab/>
      </w:r>
      <w:r w:rsidR="00846131">
        <w:rPr>
          <w:rFonts w:asciiTheme="majorHAnsi" w:hAnsiTheme="majorHAnsi" w:cstheme="majorHAnsi"/>
          <w:color w:val="000000"/>
          <w:sz w:val="22"/>
          <w:szCs w:val="22"/>
        </w:rPr>
        <w:tab/>
      </w:r>
      <w:r w:rsidRPr="00924D35">
        <w:rPr>
          <w:rFonts w:asciiTheme="majorHAnsi" w:hAnsiTheme="majorHAnsi" w:cstheme="majorHAnsi"/>
          <w:color w:val="000000"/>
          <w:sz w:val="22"/>
          <w:szCs w:val="22"/>
        </w:rPr>
        <w:t>A Band of Brothers</w:t>
      </w:r>
    </w:p>
    <w:p w14:paraId="003ED216" w14:textId="77777777" w:rsidR="006D444F" w:rsidRPr="00E962D2" w:rsidRDefault="006D444F" w:rsidP="006D444F">
      <w:pPr>
        <w:rPr>
          <w:rFonts w:asciiTheme="majorHAnsi" w:hAnsiTheme="majorHAnsi" w:cstheme="majorHAnsi"/>
          <w:color w:val="000000" w:themeColor="text1"/>
          <w:sz w:val="12"/>
          <w:szCs w:val="12"/>
        </w:rPr>
      </w:pPr>
    </w:p>
    <w:p w14:paraId="050E4174" w14:textId="77777777" w:rsidR="006D444F" w:rsidRPr="00924D35" w:rsidRDefault="006D444F" w:rsidP="006D444F">
      <w:pPr>
        <w:rPr>
          <w:rFonts w:asciiTheme="majorHAnsi" w:hAnsiTheme="majorHAnsi" w:cstheme="majorHAnsi"/>
          <w:color w:val="000000" w:themeColor="text1"/>
          <w:sz w:val="22"/>
          <w:szCs w:val="22"/>
        </w:rPr>
      </w:pPr>
      <w:r w:rsidRPr="00924D35">
        <w:rPr>
          <w:rFonts w:asciiTheme="majorHAnsi" w:hAnsiTheme="majorHAnsi" w:cstheme="majorHAnsi"/>
          <w:color w:val="000000" w:themeColor="text1"/>
          <w:sz w:val="22"/>
          <w:szCs w:val="22"/>
        </w:rPr>
        <w:t>Thanks also go to those practitioners and managers who facilitated access to young men to interview, especially when COVID-19 prevented face to face contact. This huge contribution made the project possible.</w:t>
      </w:r>
    </w:p>
    <w:p w14:paraId="0EF1C01C" w14:textId="77777777" w:rsidR="006D444F" w:rsidRPr="00924D35" w:rsidRDefault="006D444F" w:rsidP="006D444F">
      <w:pPr>
        <w:rPr>
          <w:rFonts w:asciiTheme="majorHAnsi" w:hAnsiTheme="majorHAnsi" w:cstheme="majorHAnsi"/>
          <w:color w:val="000000" w:themeColor="text1"/>
          <w:sz w:val="22"/>
          <w:szCs w:val="22"/>
        </w:rPr>
      </w:pPr>
    </w:p>
    <w:p w14:paraId="6B63A029" w14:textId="77777777" w:rsidR="006D444F" w:rsidRPr="00924D35" w:rsidRDefault="006D444F" w:rsidP="006D444F">
      <w:pPr>
        <w:rPr>
          <w:rFonts w:asciiTheme="majorHAnsi" w:hAnsiTheme="majorHAnsi" w:cstheme="majorHAnsi"/>
          <w:color w:val="000000" w:themeColor="text1"/>
          <w:sz w:val="22"/>
          <w:szCs w:val="22"/>
        </w:rPr>
      </w:pPr>
      <w:r w:rsidRPr="00924D35">
        <w:rPr>
          <w:rFonts w:asciiTheme="majorHAnsi" w:hAnsiTheme="majorHAnsi" w:cstheme="majorHAnsi"/>
          <w:color w:val="000000" w:themeColor="text1"/>
          <w:sz w:val="22"/>
          <w:szCs w:val="22"/>
        </w:rPr>
        <w:t xml:space="preserve">We would also like to recognise here the very significant contributions made to the course of the project by the initial Reference Group members, the young men who shared their lived experiences of growing up in Brighton and Hove, and the practitioners who also took part in interviews. </w:t>
      </w:r>
    </w:p>
    <w:p w14:paraId="6804426F" w14:textId="77777777" w:rsidR="006D444F" w:rsidRPr="00924D35" w:rsidRDefault="006D444F" w:rsidP="006D444F">
      <w:pPr>
        <w:rPr>
          <w:rFonts w:asciiTheme="majorHAnsi" w:hAnsiTheme="majorHAnsi" w:cstheme="majorHAnsi"/>
          <w:color w:val="000000" w:themeColor="text1"/>
          <w:sz w:val="22"/>
          <w:szCs w:val="22"/>
        </w:rPr>
      </w:pPr>
    </w:p>
    <w:p w14:paraId="06759663" w14:textId="77777777" w:rsidR="006D444F" w:rsidRPr="00924D35" w:rsidRDefault="006D444F" w:rsidP="006D444F">
      <w:pPr>
        <w:rPr>
          <w:rFonts w:asciiTheme="majorHAnsi" w:hAnsiTheme="majorHAnsi" w:cstheme="majorHAnsi"/>
          <w:color w:val="000000" w:themeColor="text1"/>
          <w:sz w:val="22"/>
          <w:szCs w:val="22"/>
        </w:rPr>
      </w:pPr>
      <w:r w:rsidRPr="00924D35">
        <w:rPr>
          <w:rFonts w:asciiTheme="majorHAnsi" w:hAnsiTheme="majorHAnsi" w:cstheme="majorHAnsi"/>
          <w:color w:val="000000" w:themeColor="text1"/>
          <w:sz w:val="22"/>
          <w:szCs w:val="22"/>
        </w:rPr>
        <w:t>The two peer-researchers, Elijah and Kieran, young men themselves, carried out interviews, assisted with analysis and helped as much as possible to ensure that the project remained true to its original aims.</w:t>
      </w:r>
    </w:p>
    <w:p w14:paraId="68170351" w14:textId="77777777" w:rsidR="006D444F" w:rsidRPr="00924D35" w:rsidRDefault="006D444F" w:rsidP="006D444F">
      <w:pPr>
        <w:rPr>
          <w:rFonts w:asciiTheme="majorHAnsi" w:hAnsiTheme="majorHAnsi" w:cstheme="majorHAnsi"/>
          <w:color w:val="000000" w:themeColor="text1"/>
          <w:sz w:val="22"/>
          <w:szCs w:val="22"/>
        </w:rPr>
      </w:pPr>
    </w:p>
    <w:p w14:paraId="55E732D6" w14:textId="5F69D874" w:rsidR="006D444F" w:rsidRPr="00924D35" w:rsidRDefault="006D444F" w:rsidP="006D444F">
      <w:pPr>
        <w:rPr>
          <w:rFonts w:asciiTheme="majorHAnsi" w:hAnsiTheme="majorHAnsi" w:cstheme="majorHAnsi"/>
          <w:color w:val="000000" w:themeColor="text1"/>
          <w:sz w:val="22"/>
          <w:szCs w:val="22"/>
        </w:rPr>
      </w:pPr>
      <w:r w:rsidRPr="00924D35">
        <w:rPr>
          <w:rFonts w:asciiTheme="majorHAnsi" w:hAnsiTheme="majorHAnsi" w:cstheme="majorHAnsi"/>
          <w:color w:val="000000" w:themeColor="text1"/>
          <w:sz w:val="22"/>
          <w:szCs w:val="22"/>
        </w:rPr>
        <w:t>Several members of the original research team were unable to see this through to the end due to work pressures, especially with the onset of the pandemic, and as a result in job or role changes. We would, therefore, like to acknowledge here the significant contributions made by Ian Dore and Paul Teverson</w:t>
      </w:r>
      <w:r w:rsidR="00456C7F">
        <w:rPr>
          <w:rFonts w:asciiTheme="majorHAnsi" w:hAnsiTheme="majorHAnsi" w:cstheme="majorHAnsi"/>
          <w:color w:val="000000" w:themeColor="text1"/>
          <w:sz w:val="22"/>
          <w:szCs w:val="22"/>
        </w:rPr>
        <w:t xml:space="preserve">, </w:t>
      </w:r>
      <w:r w:rsidRPr="00924D35">
        <w:rPr>
          <w:rFonts w:asciiTheme="majorHAnsi" w:hAnsiTheme="majorHAnsi" w:cstheme="majorHAnsi"/>
          <w:color w:val="000000" w:themeColor="text1"/>
          <w:sz w:val="22"/>
          <w:szCs w:val="22"/>
        </w:rPr>
        <w:t xml:space="preserve">especially in relation to the examination of existing data and the ‘deep dive’ process, and </w:t>
      </w:r>
      <w:r w:rsidR="00456C7F">
        <w:rPr>
          <w:rFonts w:asciiTheme="majorHAnsi" w:hAnsiTheme="majorHAnsi" w:cstheme="majorHAnsi"/>
          <w:color w:val="000000" w:themeColor="text1"/>
          <w:sz w:val="22"/>
          <w:szCs w:val="22"/>
        </w:rPr>
        <w:t xml:space="preserve">by </w:t>
      </w:r>
      <w:r w:rsidRPr="00924D35">
        <w:rPr>
          <w:rFonts w:asciiTheme="majorHAnsi" w:hAnsiTheme="majorHAnsi" w:cstheme="majorHAnsi"/>
          <w:color w:val="000000" w:themeColor="text1"/>
          <w:sz w:val="22"/>
          <w:szCs w:val="22"/>
        </w:rPr>
        <w:t xml:space="preserve">Sarah Wilkins, especially for the work with the original reference group whose input helped devise appropriate frameworks for interviews and interview questions. All were involved in the initial project planning and renegotiating the plans as circumstances changed, as well as in some of the interviewing of staff from local organisations working with young men. Their contributions shaped the progress of the project. </w:t>
      </w:r>
    </w:p>
    <w:p w14:paraId="2196119D" w14:textId="77777777" w:rsidR="006D444F" w:rsidRPr="00924D35" w:rsidRDefault="006D444F" w:rsidP="006D444F">
      <w:pPr>
        <w:rPr>
          <w:rFonts w:asciiTheme="majorHAnsi" w:hAnsiTheme="majorHAnsi" w:cstheme="majorHAnsi"/>
          <w:color w:val="000000" w:themeColor="text1"/>
          <w:sz w:val="22"/>
          <w:szCs w:val="22"/>
        </w:rPr>
      </w:pPr>
    </w:p>
    <w:p w14:paraId="28E9F134" w14:textId="44E6EBBA" w:rsidR="00456C7F" w:rsidRDefault="006D444F" w:rsidP="006D444F">
      <w:pPr>
        <w:rPr>
          <w:rFonts w:asciiTheme="majorHAnsi" w:hAnsiTheme="majorHAnsi" w:cstheme="majorHAnsi"/>
          <w:color w:val="000000" w:themeColor="text1"/>
          <w:sz w:val="22"/>
          <w:szCs w:val="22"/>
        </w:rPr>
      </w:pPr>
      <w:r w:rsidRPr="00924D35">
        <w:rPr>
          <w:rFonts w:asciiTheme="majorHAnsi" w:hAnsiTheme="majorHAnsi" w:cstheme="majorHAnsi"/>
          <w:color w:val="000000" w:themeColor="text1"/>
          <w:sz w:val="22"/>
          <w:szCs w:val="22"/>
        </w:rPr>
        <w:t xml:space="preserve">Finally, we would like to thank the Better Brighton &amp; Hove team for their support and understanding as obstacles and events required changes to original plans, and of course for their funding without which a project of this scale and depth could not have been completed. </w:t>
      </w:r>
    </w:p>
    <w:p w14:paraId="616F4E5A" w14:textId="77777777" w:rsidR="00456C7F" w:rsidRDefault="00456C7F" w:rsidP="0080697E">
      <w:pPr>
        <w:jc w:val="center"/>
        <w:rPr>
          <w:rFonts w:asciiTheme="majorHAnsi" w:hAnsiTheme="majorHAnsi" w:cstheme="minorHAnsi"/>
          <w:i/>
          <w:iCs/>
          <w:color w:val="000000" w:themeColor="text1"/>
        </w:rPr>
      </w:pPr>
    </w:p>
    <w:p w14:paraId="5F68C36D" w14:textId="79DAFED6" w:rsidR="0080697E" w:rsidRPr="0080697E" w:rsidRDefault="0080697E" w:rsidP="0080697E">
      <w:pPr>
        <w:jc w:val="center"/>
        <w:rPr>
          <w:rFonts w:asciiTheme="majorHAnsi" w:hAnsiTheme="majorHAnsi" w:cstheme="minorHAnsi"/>
          <w:i/>
          <w:iCs/>
          <w:color w:val="000000" w:themeColor="text1"/>
        </w:rPr>
      </w:pPr>
      <w:r w:rsidRPr="0080697E">
        <w:rPr>
          <w:rFonts w:asciiTheme="majorHAnsi" w:hAnsiTheme="majorHAnsi" w:cstheme="minorHAnsi"/>
          <w:i/>
          <w:iCs/>
          <w:color w:val="000000" w:themeColor="text1"/>
        </w:rPr>
        <w:lastRenderedPageBreak/>
        <w:t>“That’s all I wanted, I just wanted someone to give me a hug and tell me that they saw me”</w:t>
      </w:r>
    </w:p>
    <w:p w14:paraId="0BC3BC01" w14:textId="77777777" w:rsidR="0080697E" w:rsidRPr="0080697E" w:rsidRDefault="0080697E" w:rsidP="0080697E">
      <w:pPr>
        <w:jc w:val="center"/>
        <w:rPr>
          <w:rFonts w:asciiTheme="majorHAnsi" w:hAnsiTheme="majorHAnsi" w:cstheme="minorHAnsi"/>
          <w:i/>
          <w:iCs/>
          <w:color w:val="000000" w:themeColor="text1"/>
        </w:rPr>
      </w:pPr>
    </w:p>
    <w:p w14:paraId="0841560B" w14:textId="511E2023" w:rsidR="0080697E" w:rsidRPr="0080697E" w:rsidRDefault="0080697E" w:rsidP="0080697E">
      <w:pPr>
        <w:jc w:val="center"/>
        <w:rPr>
          <w:rFonts w:asciiTheme="majorHAnsi" w:hAnsiTheme="majorHAnsi" w:cstheme="minorHAnsi"/>
          <w:i/>
          <w:iCs/>
          <w:color w:val="000000" w:themeColor="text1"/>
        </w:rPr>
      </w:pPr>
      <w:r w:rsidRPr="0080697E">
        <w:rPr>
          <w:rFonts w:asciiTheme="majorHAnsi" w:hAnsiTheme="majorHAnsi" w:cstheme="minorHAnsi"/>
          <w:i/>
          <w:iCs/>
          <w:color w:val="000000" w:themeColor="text1"/>
        </w:rPr>
        <w:t>“There are plenty of people that really do care and really want to make a change”</w:t>
      </w:r>
    </w:p>
    <w:p w14:paraId="3590443A" w14:textId="79FF12C8" w:rsidR="0080697E" w:rsidRPr="0080697E" w:rsidRDefault="0080697E" w:rsidP="0080697E">
      <w:pPr>
        <w:jc w:val="center"/>
        <w:rPr>
          <w:rFonts w:asciiTheme="majorHAnsi" w:hAnsiTheme="majorHAnsi" w:cstheme="minorHAnsi"/>
          <w:i/>
          <w:iCs/>
          <w:color w:val="000000" w:themeColor="text1"/>
        </w:rPr>
      </w:pPr>
    </w:p>
    <w:p w14:paraId="38EC580C" w14:textId="332A2AEE" w:rsidR="0080697E" w:rsidRDefault="0080697E" w:rsidP="00301C85">
      <w:pPr>
        <w:rPr>
          <w:rFonts w:asciiTheme="majorHAnsi" w:hAnsiTheme="majorHAnsi" w:cstheme="minorHAnsi"/>
          <w:color w:val="000000" w:themeColor="text1"/>
        </w:rPr>
      </w:pPr>
      <w:r>
        <w:rPr>
          <w:rFonts w:asciiTheme="majorHAnsi" w:hAnsiTheme="majorHAnsi" w:cstheme="minorHAnsi"/>
          <w:color w:val="000000" w:themeColor="text1"/>
        </w:rPr>
        <w:t>(From interviews with young men, 2020)</w:t>
      </w:r>
    </w:p>
    <w:p w14:paraId="17068EDE" w14:textId="77777777" w:rsidR="0080697E" w:rsidRDefault="0080697E" w:rsidP="00301C85">
      <w:pPr>
        <w:rPr>
          <w:rFonts w:asciiTheme="majorHAnsi" w:hAnsiTheme="majorHAnsi" w:cstheme="minorHAnsi"/>
          <w:color w:val="000000" w:themeColor="text1"/>
        </w:rPr>
      </w:pPr>
    </w:p>
    <w:p w14:paraId="2A091960" w14:textId="77777777" w:rsidR="0080697E" w:rsidRDefault="0080697E" w:rsidP="00301C85">
      <w:pPr>
        <w:rPr>
          <w:rFonts w:asciiTheme="majorHAnsi" w:hAnsiTheme="majorHAnsi" w:cstheme="minorHAnsi"/>
          <w:color w:val="000000" w:themeColor="text1"/>
        </w:rPr>
      </w:pPr>
    </w:p>
    <w:p w14:paraId="5EC82890" w14:textId="77777777" w:rsidR="0080697E" w:rsidRDefault="0080697E" w:rsidP="00301C85">
      <w:pPr>
        <w:rPr>
          <w:rFonts w:asciiTheme="majorHAnsi" w:hAnsiTheme="majorHAnsi" w:cstheme="minorHAnsi"/>
          <w:color w:val="000000" w:themeColor="text1"/>
        </w:rPr>
      </w:pPr>
    </w:p>
    <w:p w14:paraId="77E2FE68" w14:textId="3A1F5337" w:rsidR="006C15DA" w:rsidRPr="00301C85" w:rsidRDefault="00301C85" w:rsidP="00301C85">
      <w:pPr>
        <w:rPr>
          <w:rFonts w:asciiTheme="majorHAnsi" w:hAnsiTheme="majorHAnsi" w:cstheme="majorHAnsi"/>
        </w:rPr>
      </w:pPr>
      <w:r w:rsidRPr="00301C85">
        <w:rPr>
          <w:rFonts w:asciiTheme="majorHAnsi" w:hAnsiTheme="majorHAnsi" w:cstheme="majorHAnsi"/>
          <w:b/>
          <w:bCs/>
          <w:color w:val="000000" w:themeColor="text1"/>
          <w:u w:val="single"/>
        </w:rPr>
        <w:t xml:space="preserve">1. </w:t>
      </w:r>
      <w:r w:rsidR="006C15DA" w:rsidRPr="00301C85">
        <w:rPr>
          <w:rFonts w:asciiTheme="majorHAnsi" w:hAnsiTheme="majorHAnsi" w:cstheme="majorHAnsi"/>
          <w:b/>
          <w:bCs/>
          <w:u w:val="single"/>
        </w:rPr>
        <w:t>Introduction</w:t>
      </w:r>
    </w:p>
    <w:p w14:paraId="0495BB81" w14:textId="77777777" w:rsidR="00131488" w:rsidRPr="00301C85" w:rsidRDefault="00131488" w:rsidP="00131488">
      <w:pPr>
        <w:pStyle w:val="Normal1"/>
      </w:pPr>
    </w:p>
    <w:p w14:paraId="3D4325F5" w14:textId="125534D6" w:rsidR="00131488" w:rsidRPr="00301C85" w:rsidRDefault="006C15DA" w:rsidP="4F258D4A">
      <w:pPr>
        <w:pStyle w:val="Normal1"/>
        <w:spacing w:line="360" w:lineRule="auto"/>
        <w:rPr>
          <w:rFonts w:asciiTheme="majorHAnsi" w:hAnsiTheme="majorHAnsi"/>
        </w:rPr>
      </w:pPr>
      <w:r w:rsidRPr="00301C85">
        <w:rPr>
          <w:rFonts w:asciiTheme="majorHAnsi" w:hAnsiTheme="majorHAnsi"/>
        </w:rPr>
        <w:t xml:space="preserve">This report </w:t>
      </w:r>
      <w:r w:rsidR="00E41A0C" w:rsidRPr="00301C85">
        <w:rPr>
          <w:rFonts w:asciiTheme="majorHAnsi" w:hAnsiTheme="majorHAnsi"/>
        </w:rPr>
        <w:t>summarises learning from</w:t>
      </w:r>
      <w:r w:rsidRPr="00301C85">
        <w:rPr>
          <w:rFonts w:asciiTheme="majorHAnsi" w:hAnsiTheme="majorHAnsi"/>
        </w:rPr>
        <w:t xml:space="preserve"> the various aspects of the </w:t>
      </w:r>
      <w:r w:rsidR="00E41A0C" w:rsidRPr="00301C85">
        <w:rPr>
          <w:rFonts w:asciiTheme="majorHAnsi" w:hAnsiTheme="majorHAnsi"/>
        </w:rPr>
        <w:t>Working with Young Men</w:t>
      </w:r>
      <w:r w:rsidRPr="00301C85">
        <w:rPr>
          <w:rFonts w:asciiTheme="majorHAnsi" w:hAnsiTheme="majorHAnsi"/>
        </w:rPr>
        <w:t xml:space="preserve"> project</w:t>
      </w:r>
      <w:r w:rsidR="00E41A0C" w:rsidRPr="00301C85">
        <w:rPr>
          <w:rFonts w:asciiTheme="majorHAnsi" w:hAnsiTheme="majorHAnsi"/>
        </w:rPr>
        <w:t xml:space="preserve">. It </w:t>
      </w:r>
      <w:r w:rsidRPr="00301C85">
        <w:rPr>
          <w:rFonts w:asciiTheme="majorHAnsi" w:hAnsiTheme="majorHAnsi"/>
        </w:rPr>
        <w:t>identifies</w:t>
      </w:r>
      <w:r w:rsidR="00B97997" w:rsidRPr="00301C85">
        <w:rPr>
          <w:rFonts w:asciiTheme="majorHAnsi" w:hAnsiTheme="majorHAnsi"/>
        </w:rPr>
        <w:t xml:space="preserve"> issues</w:t>
      </w:r>
      <w:r w:rsidRPr="00301C85">
        <w:rPr>
          <w:rFonts w:asciiTheme="majorHAnsi" w:hAnsiTheme="majorHAnsi"/>
        </w:rPr>
        <w:t xml:space="preserve"> from data collection and analyses</w:t>
      </w:r>
      <w:r w:rsidR="4FEA90CF" w:rsidRPr="00301C85">
        <w:rPr>
          <w:rFonts w:asciiTheme="majorHAnsi" w:hAnsiTheme="majorHAnsi"/>
        </w:rPr>
        <w:t xml:space="preserve">, </w:t>
      </w:r>
      <w:r w:rsidR="00E41A0C" w:rsidRPr="00301C85">
        <w:rPr>
          <w:rFonts w:asciiTheme="majorHAnsi" w:hAnsiTheme="majorHAnsi"/>
        </w:rPr>
        <w:t>implications for practice</w:t>
      </w:r>
      <w:r w:rsidR="41C7C054" w:rsidRPr="00301C85">
        <w:rPr>
          <w:rFonts w:asciiTheme="majorHAnsi" w:hAnsiTheme="majorHAnsi"/>
        </w:rPr>
        <w:t>,</w:t>
      </w:r>
      <w:r w:rsidR="00E41A0C" w:rsidRPr="00301C85">
        <w:rPr>
          <w:rFonts w:asciiTheme="majorHAnsi" w:hAnsiTheme="majorHAnsi"/>
        </w:rPr>
        <w:t xml:space="preserve"> </w:t>
      </w:r>
      <w:proofErr w:type="gramStart"/>
      <w:r w:rsidR="00E41A0C" w:rsidRPr="00301C85">
        <w:rPr>
          <w:rFonts w:asciiTheme="majorHAnsi" w:hAnsiTheme="majorHAnsi"/>
        </w:rPr>
        <w:t>and  potential</w:t>
      </w:r>
      <w:proofErr w:type="gramEnd"/>
      <w:r w:rsidR="00E41A0C" w:rsidRPr="00301C85">
        <w:rPr>
          <w:rFonts w:asciiTheme="majorHAnsi" w:hAnsiTheme="majorHAnsi"/>
        </w:rPr>
        <w:t xml:space="preserve"> next steps</w:t>
      </w:r>
      <w:r w:rsidRPr="00301C85">
        <w:rPr>
          <w:rFonts w:asciiTheme="majorHAnsi" w:hAnsiTheme="majorHAnsi"/>
        </w:rPr>
        <w:t xml:space="preserve">. The report is structured such that a reminder of the main reasons for the project being commissioned precedes </w:t>
      </w:r>
      <w:r w:rsidR="00E41A0C" w:rsidRPr="00301C85">
        <w:rPr>
          <w:rFonts w:asciiTheme="majorHAnsi" w:hAnsiTheme="majorHAnsi"/>
        </w:rPr>
        <w:t>the literature review</w:t>
      </w:r>
      <w:r w:rsidRPr="00301C85">
        <w:rPr>
          <w:rFonts w:asciiTheme="majorHAnsi" w:hAnsiTheme="majorHAnsi"/>
        </w:rPr>
        <w:t xml:space="preserve">, focussing particularly upon the key themes that emerged from that process, given the fact that these also formed the basis for analysis of interviews carried out with representatives of local organisations. The data arising from interviews </w:t>
      </w:r>
      <w:r w:rsidR="001D73F8" w:rsidRPr="00301C85">
        <w:rPr>
          <w:rFonts w:asciiTheme="majorHAnsi" w:hAnsiTheme="majorHAnsi"/>
        </w:rPr>
        <w:t>with young</w:t>
      </w:r>
      <w:r w:rsidR="00E41A0C" w:rsidRPr="00301C85">
        <w:rPr>
          <w:rFonts w:asciiTheme="majorHAnsi" w:hAnsiTheme="majorHAnsi"/>
        </w:rPr>
        <w:t xml:space="preserve"> men and with professionals from a range </w:t>
      </w:r>
      <w:r w:rsidR="001D73F8" w:rsidRPr="00301C85">
        <w:rPr>
          <w:rFonts w:asciiTheme="majorHAnsi" w:hAnsiTheme="majorHAnsi"/>
        </w:rPr>
        <w:t>of organisations</w:t>
      </w:r>
      <w:r w:rsidRPr="00301C85">
        <w:rPr>
          <w:rFonts w:asciiTheme="majorHAnsi" w:hAnsiTheme="majorHAnsi"/>
        </w:rPr>
        <w:t xml:space="preserve"> is then explored theme by theme</w:t>
      </w:r>
      <w:r w:rsidR="58396AB3" w:rsidRPr="00301C85">
        <w:rPr>
          <w:rFonts w:asciiTheme="majorHAnsi" w:hAnsiTheme="majorHAnsi"/>
        </w:rPr>
        <w:t>,</w:t>
      </w:r>
      <w:r w:rsidRPr="00301C85">
        <w:rPr>
          <w:rFonts w:asciiTheme="majorHAnsi" w:hAnsiTheme="majorHAnsi"/>
        </w:rPr>
        <w:t xml:space="preserve"> </w:t>
      </w:r>
      <w:r w:rsidR="67A7810F" w:rsidRPr="00301C85">
        <w:rPr>
          <w:rFonts w:asciiTheme="majorHAnsi" w:hAnsiTheme="majorHAnsi"/>
        </w:rPr>
        <w:t>and</w:t>
      </w:r>
      <w:r w:rsidRPr="00301C85">
        <w:rPr>
          <w:rFonts w:asciiTheme="majorHAnsi" w:hAnsiTheme="majorHAnsi"/>
        </w:rPr>
        <w:t xml:space="preserve"> </w:t>
      </w:r>
      <w:r w:rsidR="00E41A0C" w:rsidRPr="00301C85">
        <w:rPr>
          <w:rFonts w:asciiTheme="majorHAnsi" w:hAnsiTheme="majorHAnsi"/>
        </w:rPr>
        <w:t xml:space="preserve">conclusions </w:t>
      </w:r>
      <w:r w:rsidR="001D73F8" w:rsidRPr="00301C85">
        <w:rPr>
          <w:rFonts w:asciiTheme="majorHAnsi" w:hAnsiTheme="majorHAnsi"/>
        </w:rPr>
        <w:t>and recommendations</w:t>
      </w:r>
      <w:r w:rsidRPr="00301C85">
        <w:rPr>
          <w:rFonts w:asciiTheme="majorHAnsi" w:hAnsiTheme="majorHAnsi"/>
        </w:rPr>
        <w:t xml:space="preserve"> arising from this </w:t>
      </w:r>
      <w:r w:rsidR="001D73F8" w:rsidRPr="00301C85">
        <w:rPr>
          <w:rFonts w:asciiTheme="majorHAnsi" w:hAnsiTheme="majorHAnsi"/>
        </w:rPr>
        <w:t>project</w:t>
      </w:r>
      <w:r w:rsidR="1306CD18" w:rsidRPr="00301C85">
        <w:rPr>
          <w:rFonts w:asciiTheme="majorHAnsi" w:hAnsiTheme="majorHAnsi"/>
        </w:rPr>
        <w:t xml:space="preserve"> </w:t>
      </w:r>
      <w:r w:rsidR="00BB608C" w:rsidRPr="00301C85">
        <w:rPr>
          <w:rFonts w:asciiTheme="majorHAnsi" w:hAnsiTheme="majorHAnsi"/>
        </w:rPr>
        <w:t>in</w:t>
      </w:r>
      <w:r w:rsidR="35B7DA73" w:rsidRPr="00301C85">
        <w:rPr>
          <w:rFonts w:asciiTheme="majorHAnsi" w:hAnsiTheme="majorHAnsi"/>
        </w:rPr>
        <w:t xml:space="preserve"> the final part of this report</w:t>
      </w:r>
      <w:r w:rsidR="001D73F8" w:rsidRPr="00301C85">
        <w:rPr>
          <w:rFonts w:asciiTheme="majorHAnsi" w:hAnsiTheme="majorHAnsi"/>
        </w:rPr>
        <w:t>.</w:t>
      </w:r>
    </w:p>
    <w:p w14:paraId="4A146EF7" w14:textId="042FEA7B" w:rsidR="00E41A0C" w:rsidRPr="00301C85" w:rsidRDefault="006C15DA" w:rsidP="009820FA">
      <w:pPr>
        <w:pStyle w:val="Normal1"/>
        <w:spacing w:line="360" w:lineRule="auto"/>
      </w:pPr>
      <w:r w:rsidRPr="00301C85">
        <w:rPr>
          <w:rFonts w:asciiTheme="majorHAnsi" w:hAnsiTheme="majorHAnsi" w:cstheme="minorHAnsi"/>
        </w:rPr>
        <w:t xml:space="preserve"> </w:t>
      </w:r>
    </w:p>
    <w:p w14:paraId="344E5B7B" w14:textId="2ABEA0E0" w:rsidR="006C15DA" w:rsidRPr="00301C85" w:rsidRDefault="006C15DA" w:rsidP="4F258D4A">
      <w:pPr>
        <w:pStyle w:val="Normal1"/>
        <w:spacing w:line="360" w:lineRule="auto"/>
        <w:rPr>
          <w:rFonts w:asciiTheme="majorHAnsi" w:hAnsiTheme="majorHAnsi"/>
        </w:rPr>
      </w:pPr>
      <w:r w:rsidRPr="0080697E">
        <w:rPr>
          <w:rFonts w:asciiTheme="majorHAnsi" w:hAnsiTheme="majorHAnsi"/>
        </w:rPr>
        <w:t>The project was commissioned as a result of concerns within and between local statutory and non-statutory services</w:t>
      </w:r>
      <w:r w:rsidR="00B97997" w:rsidRPr="0080697E">
        <w:rPr>
          <w:rFonts w:asciiTheme="majorHAnsi" w:hAnsiTheme="majorHAnsi"/>
        </w:rPr>
        <w:t xml:space="preserve"> and other stakeholders</w:t>
      </w:r>
      <w:r w:rsidRPr="0080697E">
        <w:rPr>
          <w:rFonts w:asciiTheme="majorHAnsi" w:hAnsiTheme="majorHAnsi"/>
        </w:rPr>
        <w:t xml:space="preserve"> about young men</w:t>
      </w:r>
      <w:r w:rsidR="774D012E" w:rsidRPr="0080697E">
        <w:rPr>
          <w:rFonts w:asciiTheme="majorHAnsi" w:hAnsiTheme="majorHAnsi"/>
        </w:rPr>
        <w:t>,</w:t>
      </w:r>
      <w:r w:rsidR="004C7BE1" w:rsidRPr="0080697E">
        <w:rPr>
          <w:rFonts w:asciiTheme="majorHAnsi" w:hAnsiTheme="majorHAnsi"/>
        </w:rPr>
        <w:t xml:space="preserve"> </w:t>
      </w:r>
      <w:r w:rsidR="71F36BD7" w:rsidRPr="0080697E">
        <w:rPr>
          <w:rFonts w:asciiTheme="majorHAnsi" w:hAnsiTheme="majorHAnsi"/>
        </w:rPr>
        <w:t xml:space="preserve">many of whom </w:t>
      </w:r>
      <w:r w:rsidR="774743A2" w:rsidRPr="0080697E">
        <w:rPr>
          <w:rFonts w:asciiTheme="majorHAnsi" w:hAnsiTheme="majorHAnsi"/>
        </w:rPr>
        <w:t xml:space="preserve">who were </w:t>
      </w:r>
      <w:proofErr w:type="gramStart"/>
      <w:r w:rsidR="774743A2" w:rsidRPr="0080697E">
        <w:rPr>
          <w:rFonts w:asciiTheme="majorHAnsi" w:hAnsiTheme="majorHAnsi"/>
        </w:rPr>
        <w:t xml:space="preserve">not </w:t>
      </w:r>
      <w:r w:rsidRPr="0080697E">
        <w:rPr>
          <w:rFonts w:asciiTheme="majorHAnsi" w:hAnsiTheme="majorHAnsi"/>
        </w:rPr>
        <w:t xml:space="preserve"> engaging</w:t>
      </w:r>
      <w:proofErr w:type="gramEnd"/>
      <w:r w:rsidRPr="0080697E">
        <w:rPr>
          <w:rFonts w:asciiTheme="majorHAnsi" w:hAnsiTheme="majorHAnsi"/>
        </w:rPr>
        <w:t xml:space="preserve"> with existing services, and about whom professionals </w:t>
      </w:r>
      <w:r w:rsidR="1CC1487B" w:rsidRPr="0080697E">
        <w:rPr>
          <w:rFonts w:asciiTheme="majorHAnsi" w:hAnsiTheme="majorHAnsi"/>
        </w:rPr>
        <w:t>had concerns relating to safety and risk</w:t>
      </w:r>
      <w:r w:rsidRPr="0080697E">
        <w:rPr>
          <w:rFonts w:asciiTheme="majorHAnsi" w:hAnsiTheme="majorHAnsi"/>
        </w:rPr>
        <w:t xml:space="preserve">. In many cases, they were the young men that were </w:t>
      </w:r>
      <w:r w:rsidR="007C1DAE" w:rsidRPr="0080697E">
        <w:rPr>
          <w:rFonts w:asciiTheme="majorHAnsi" w:hAnsiTheme="majorHAnsi"/>
        </w:rPr>
        <w:t xml:space="preserve">slipping through and between existing provision whilst </w:t>
      </w:r>
      <w:r w:rsidR="08452E33" w:rsidRPr="0080697E">
        <w:rPr>
          <w:rFonts w:asciiTheme="majorHAnsi" w:hAnsiTheme="majorHAnsi"/>
        </w:rPr>
        <w:t xml:space="preserve">also </w:t>
      </w:r>
      <w:r w:rsidRPr="0080697E">
        <w:rPr>
          <w:rFonts w:asciiTheme="majorHAnsi" w:hAnsiTheme="majorHAnsi"/>
        </w:rPr>
        <w:t xml:space="preserve">costing </w:t>
      </w:r>
      <w:r w:rsidR="007C1DAE" w:rsidRPr="0080697E">
        <w:rPr>
          <w:rFonts w:asciiTheme="majorHAnsi" w:hAnsiTheme="majorHAnsi"/>
        </w:rPr>
        <w:t xml:space="preserve">the city </w:t>
      </w:r>
      <w:r w:rsidRPr="0080697E">
        <w:rPr>
          <w:rFonts w:asciiTheme="majorHAnsi" w:hAnsiTheme="majorHAnsi"/>
        </w:rPr>
        <w:t xml:space="preserve">significant amounts of money in resources and services, with little ‘benefit’ </w:t>
      </w:r>
      <w:r w:rsidR="007C1DAE" w:rsidRPr="0080697E">
        <w:rPr>
          <w:rFonts w:asciiTheme="majorHAnsi" w:hAnsiTheme="majorHAnsi"/>
        </w:rPr>
        <w:t xml:space="preserve">or impact </w:t>
      </w:r>
      <w:r w:rsidRPr="0080697E">
        <w:rPr>
          <w:rFonts w:asciiTheme="majorHAnsi" w:hAnsiTheme="majorHAnsi"/>
        </w:rPr>
        <w:t>being apparent</w:t>
      </w:r>
      <w:r w:rsidR="007C1DAE" w:rsidRPr="0080697E">
        <w:rPr>
          <w:rFonts w:asciiTheme="majorHAnsi" w:hAnsiTheme="majorHAnsi"/>
        </w:rPr>
        <w:t>.</w:t>
      </w:r>
      <w:r w:rsidRPr="0080697E">
        <w:rPr>
          <w:rFonts w:asciiTheme="majorHAnsi" w:hAnsiTheme="majorHAnsi"/>
        </w:rPr>
        <w:t xml:space="preserve"> The project was tasked with exploring ideas about ‘what works’ with</w:t>
      </w:r>
      <w:r w:rsidR="2DD090B9" w:rsidRPr="0080697E">
        <w:rPr>
          <w:rFonts w:asciiTheme="majorHAnsi" w:hAnsiTheme="majorHAnsi"/>
        </w:rPr>
        <w:t xml:space="preserve"> and for</w:t>
      </w:r>
      <w:r w:rsidRPr="0080697E">
        <w:rPr>
          <w:rFonts w:asciiTheme="majorHAnsi" w:hAnsiTheme="majorHAnsi"/>
        </w:rPr>
        <w:t xml:space="preserve"> such young men,</w:t>
      </w:r>
      <w:r w:rsidR="006C2146" w:rsidRPr="0080697E">
        <w:rPr>
          <w:rFonts w:asciiTheme="majorHAnsi" w:hAnsiTheme="majorHAnsi"/>
        </w:rPr>
        <w:t xml:space="preserve"> a</w:t>
      </w:r>
      <w:r w:rsidRPr="0080697E">
        <w:rPr>
          <w:rFonts w:asciiTheme="majorHAnsi" w:hAnsiTheme="majorHAnsi"/>
        </w:rPr>
        <w:t xml:space="preserve">nd </w:t>
      </w:r>
      <w:r w:rsidR="007C1DAE" w:rsidRPr="0080697E">
        <w:rPr>
          <w:rFonts w:asciiTheme="majorHAnsi" w:hAnsiTheme="majorHAnsi"/>
        </w:rPr>
        <w:t xml:space="preserve">importantly </w:t>
      </w:r>
      <w:r w:rsidRPr="0080697E">
        <w:rPr>
          <w:rFonts w:asciiTheme="majorHAnsi" w:hAnsiTheme="majorHAnsi"/>
        </w:rPr>
        <w:t xml:space="preserve">to obtain </w:t>
      </w:r>
      <w:r w:rsidR="0F751ACF" w:rsidRPr="0080697E">
        <w:rPr>
          <w:rFonts w:asciiTheme="majorHAnsi" w:hAnsiTheme="majorHAnsi"/>
        </w:rPr>
        <w:t xml:space="preserve">the </w:t>
      </w:r>
      <w:r w:rsidRPr="0080697E">
        <w:rPr>
          <w:rFonts w:asciiTheme="majorHAnsi" w:hAnsiTheme="majorHAnsi"/>
        </w:rPr>
        <w:t xml:space="preserve">perspectives </w:t>
      </w:r>
      <w:r w:rsidR="772FBF05" w:rsidRPr="0080697E">
        <w:rPr>
          <w:rFonts w:asciiTheme="majorHAnsi" w:hAnsiTheme="majorHAnsi"/>
        </w:rPr>
        <w:t>of</w:t>
      </w:r>
      <w:r w:rsidRPr="0080697E">
        <w:rPr>
          <w:rFonts w:asciiTheme="majorHAnsi" w:hAnsiTheme="majorHAnsi"/>
        </w:rPr>
        <w:t xml:space="preserve"> young men and professionals </w:t>
      </w:r>
      <w:r w:rsidR="0D230352" w:rsidRPr="0080697E">
        <w:rPr>
          <w:rFonts w:asciiTheme="majorHAnsi" w:hAnsiTheme="majorHAnsi"/>
        </w:rPr>
        <w:t>via</w:t>
      </w:r>
      <w:r w:rsidRPr="0080697E">
        <w:rPr>
          <w:rFonts w:asciiTheme="majorHAnsi" w:hAnsiTheme="majorHAnsi"/>
        </w:rPr>
        <w:t xml:space="preserve"> interviews, including with young men for whom </w:t>
      </w:r>
      <w:proofErr w:type="gramStart"/>
      <w:r w:rsidRPr="0080697E">
        <w:rPr>
          <w:rFonts w:asciiTheme="majorHAnsi" w:hAnsiTheme="majorHAnsi"/>
        </w:rPr>
        <w:t>outcomes  have</w:t>
      </w:r>
      <w:proofErr w:type="gramEnd"/>
      <w:r w:rsidRPr="0080697E">
        <w:rPr>
          <w:rFonts w:asciiTheme="majorHAnsi" w:hAnsiTheme="majorHAnsi"/>
        </w:rPr>
        <w:t xml:space="preserve"> been less positive</w:t>
      </w:r>
      <w:r w:rsidR="1A33C26F" w:rsidRPr="0080697E">
        <w:rPr>
          <w:rFonts w:asciiTheme="majorHAnsi" w:hAnsiTheme="majorHAnsi"/>
        </w:rPr>
        <w:t>, as well as some for whom interventions and/or other factors appear to have led to more positive outcomes</w:t>
      </w:r>
      <w:r w:rsidRPr="0080697E">
        <w:rPr>
          <w:rFonts w:asciiTheme="majorHAnsi" w:hAnsiTheme="majorHAnsi"/>
        </w:rPr>
        <w:t>.</w:t>
      </w:r>
      <w:r w:rsidRPr="00301C85">
        <w:rPr>
          <w:rFonts w:asciiTheme="majorHAnsi" w:hAnsiTheme="majorHAnsi"/>
        </w:rPr>
        <w:t xml:space="preserve"> </w:t>
      </w:r>
    </w:p>
    <w:p w14:paraId="3D185CEB" w14:textId="77777777" w:rsidR="006C15DA" w:rsidRPr="00301C85" w:rsidRDefault="006C15DA" w:rsidP="009820FA">
      <w:pPr>
        <w:pStyle w:val="Normal1"/>
        <w:spacing w:line="360" w:lineRule="auto"/>
        <w:rPr>
          <w:rFonts w:asciiTheme="majorHAnsi" w:hAnsiTheme="majorHAnsi" w:cstheme="minorHAnsi"/>
        </w:rPr>
      </w:pPr>
    </w:p>
    <w:p w14:paraId="6AB1780A" w14:textId="5AB704FD" w:rsidR="006C15DA" w:rsidRPr="00301C85" w:rsidRDefault="006C15DA" w:rsidP="260A14CD">
      <w:pPr>
        <w:pStyle w:val="Normal1"/>
        <w:spacing w:line="360" w:lineRule="auto"/>
        <w:rPr>
          <w:rFonts w:asciiTheme="majorHAnsi" w:hAnsiTheme="majorHAnsi"/>
        </w:rPr>
      </w:pPr>
      <w:r w:rsidRPr="00301C85">
        <w:rPr>
          <w:rFonts w:asciiTheme="majorHAnsi" w:hAnsiTheme="majorHAnsi"/>
        </w:rPr>
        <w:t xml:space="preserve">As part of the original project brief, there was </w:t>
      </w:r>
      <w:r w:rsidR="4CCFBDC2" w:rsidRPr="00301C85">
        <w:rPr>
          <w:rFonts w:asciiTheme="majorHAnsi" w:hAnsiTheme="majorHAnsi"/>
        </w:rPr>
        <w:t>an acknowledgement</w:t>
      </w:r>
      <w:r w:rsidRPr="00301C85">
        <w:rPr>
          <w:rFonts w:asciiTheme="majorHAnsi" w:hAnsiTheme="majorHAnsi"/>
        </w:rPr>
        <w:t xml:space="preserve"> that Brighton and Hove may be a somewhat unique context in which to be a young man, with references made to the vibrant culture and values that are based upon its history and standing as a holiday or day trip town, with perhaps a deepening divide between the prosperous and those struggling to afford to live in the city, </w:t>
      </w:r>
      <w:r w:rsidR="5810E329" w:rsidRPr="00301C85">
        <w:rPr>
          <w:rFonts w:asciiTheme="majorHAnsi" w:hAnsiTheme="majorHAnsi"/>
        </w:rPr>
        <w:t>and the latter</w:t>
      </w:r>
      <w:r w:rsidRPr="00301C85">
        <w:rPr>
          <w:rFonts w:asciiTheme="majorHAnsi" w:hAnsiTheme="majorHAnsi"/>
        </w:rPr>
        <w:t xml:space="preserve"> feeling alienated and seeking meaning and belonging in </w:t>
      </w:r>
      <w:r w:rsidR="00BB608C" w:rsidRPr="00301C85">
        <w:rPr>
          <w:rFonts w:asciiTheme="majorHAnsi" w:hAnsiTheme="majorHAnsi"/>
        </w:rPr>
        <w:t>potentially</w:t>
      </w:r>
      <w:r w:rsidR="00AC5554" w:rsidRPr="00301C85">
        <w:rPr>
          <w:rFonts w:asciiTheme="majorHAnsi" w:hAnsiTheme="majorHAnsi"/>
        </w:rPr>
        <w:t xml:space="preserve"> destructive ways</w:t>
      </w:r>
      <w:r w:rsidRPr="00301C85">
        <w:rPr>
          <w:rFonts w:asciiTheme="majorHAnsi" w:hAnsiTheme="majorHAnsi"/>
        </w:rPr>
        <w:t>. As such, the group of young men the project sought to understand included those aged 14 to 25 years,</w:t>
      </w:r>
      <w:r w:rsidR="00D06B35" w:rsidRPr="00301C85">
        <w:rPr>
          <w:rFonts w:asciiTheme="majorHAnsi" w:hAnsiTheme="majorHAnsi"/>
        </w:rPr>
        <w:t xml:space="preserve"> </w:t>
      </w:r>
      <w:r w:rsidR="324E667D" w:rsidRPr="00301C85">
        <w:rPr>
          <w:rFonts w:asciiTheme="majorHAnsi" w:hAnsiTheme="majorHAnsi"/>
        </w:rPr>
        <w:t>who</w:t>
      </w:r>
      <w:r w:rsidR="00D06B35" w:rsidRPr="00301C85">
        <w:rPr>
          <w:rFonts w:asciiTheme="majorHAnsi" w:hAnsiTheme="majorHAnsi"/>
        </w:rPr>
        <w:t xml:space="preserve"> had</w:t>
      </w:r>
      <w:r w:rsidR="324E667D" w:rsidRPr="00301C85">
        <w:rPr>
          <w:rFonts w:asciiTheme="majorHAnsi" w:hAnsiTheme="majorHAnsi"/>
        </w:rPr>
        <w:t xml:space="preserve"> experienced</w:t>
      </w:r>
      <w:r w:rsidRPr="00301C85">
        <w:rPr>
          <w:rFonts w:asciiTheme="majorHAnsi" w:hAnsiTheme="majorHAnsi"/>
        </w:rPr>
        <w:t xml:space="preserve"> a degree of criminal or anti-social behaviour and/or substance </w:t>
      </w:r>
      <w:proofErr w:type="gramStart"/>
      <w:r w:rsidRPr="00301C85">
        <w:rPr>
          <w:rFonts w:asciiTheme="majorHAnsi" w:hAnsiTheme="majorHAnsi"/>
        </w:rPr>
        <w:t>use ,</w:t>
      </w:r>
      <w:proofErr w:type="gramEnd"/>
      <w:r w:rsidRPr="00301C85">
        <w:rPr>
          <w:rFonts w:asciiTheme="majorHAnsi" w:hAnsiTheme="majorHAnsi"/>
        </w:rPr>
        <w:t xml:space="preserve"> </w:t>
      </w:r>
      <w:r w:rsidR="6673ACCA" w:rsidRPr="00301C85">
        <w:rPr>
          <w:rFonts w:asciiTheme="majorHAnsi" w:hAnsiTheme="majorHAnsi"/>
        </w:rPr>
        <w:t>young men</w:t>
      </w:r>
      <w:r w:rsidR="004C7BE1" w:rsidRPr="00301C85">
        <w:rPr>
          <w:rFonts w:asciiTheme="majorHAnsi" w:hAnsiTheme="majorHAnsi"/>
        </w:rPr>
        <w:t xml:space="preserve"> </w:t>
      </w:r>
      <w:r w:rsidRPr="00301C85">
        <w:rPr>
          <w:rFonts w:asciiTheme="majorHAnsi" w:hAnsiTheme="majorHAnsi"/>
        </w:rPr>
        <w:t xml:space="preserve">vulnerable to exploitation, radicalisation (both far right and Islamic extremism) and abuse of different kinds, as well as experiences of poor mental health and/or disability, especially given the incidence of suicide and self-harm within the city. </w:t>
      </w:r>
    </w:p>
    <w:p w14:paraId="61718BEE" w14:textId="5C121295" w:rsidR="00131488" w:rsidRPr="00301C85" w:rsidRDefault="00131488" w:rsidP="009820FA">
      <w:pPr>
        <w:pStyle w:val="Normal1"/>
        <w:spacing w:line="360" w:lineRule="auto"/>
        <w:rPr>
          <w:rFonts w:asciiTheme="majorHAnsi" w:hAnsiTheme="majorHAnsi" w:cstheme="minorHAnsi"/>
        </w:rPr>
      </w:pPr>
    </w:p>
    <w:p w14:paraId="44520378" w14:textId="12F3C4BB" w:rsidR="0072268B" w:rsidRPr="00301C85" w:rsidRDefault="00131488" w:rsidP="46D54B89">
      <w:pPr>
        <w:pStyle w:val="Normal1"/>
        <w:spacing w:line="360" w:lineRule="auto"/>
        <w:rPr>
          <w:rFonts w:asciiTheme="majorHAnsi" w:hAnsiTheme="majorHAnsi"/>
        </w:rPr>
      </w:pPr>
      <w:r w:rsidRPr="00301C85">
        <w:rPr>
          <w:rFonts w:asciiTheme="majorHAnsi" w:hAnsiTheme="majorHAnsi"/>
        </w:rPr>
        <w:t xml:space="preserve">In terms of research approaches and methods, the team adopted a largely qualitative and interpretivist approach to the interviews in order to ascertain experiences and </w:t>
      </w:r>
      <w:r w:rsidR="000414B2" w:rsidRPr="00301C85">
        <w:rPr>
          <w:rFonts w:asciiTheme="majorHAnsi" w:hAnsiTheme="majorHAnsi"/>
        </w:rPr>
        <w:t>meaning</w:t>
      </w:r>
      <w:r w:rsidR="038D7341" w:rsidRPr="00301C85">
        <w:rPr>
          <w:rFonts w:asciiTheme="majorHAnsi" w:hAnsiTheme="majorHAnsi"/>
        </w:rPr>
        <w:t>-making,</w:t>
      </w:r>
      <w:r w:rsidR="000414B2" w:rsidRPr="00301C85">
        <w:rPr>
          <w:rFonts w:asciiTheme="majorHAnsi" w:hAnsiTheme="majorHAnsi"/>
        </w:rPr>
        <w:t xml:space="preserve"> and</w:t>
      </w:r>
      <w:r w:rsidRPr="00301C85">
        <w:rPr>
          <w:rFonts w:asciiTheme="majorHAnsi" w:hAnsiTheme="majorHAnsi"/>
        </w:rPr>
        <w:t xml:space="preserve"> used a thematic approach to the analysis of the professionally transcribed interview data, using a </w:t>
      </w:r>
      <w:proofErr w:type="gramStart"/>
      <w:r w:rsidRPr="00301C85">
        <w:rPr>
          <w:rFonts w:asciiTheme="majorHAnsi" w:hAnsiTheme="majorHAnsi"/>
        </w:rPr>
        <w:t>two stage</w:t>
      </w:r>
      <w:proofErr w:type="gramEnd"/>
      <w:r w:rsidRPr="00301C85">
        <w:rPr>
          <w:rFonts w:asciiTheme="majorHAnsi" w:hAnsiTheme="majorHAnsi"/>
        </w:rPr>
        <w:t xml:space="preserve"> process of analysis to ensure a full </w:t>
      </w:r>
      <w:r w:rsidR="0079774D" w:rsidRPr="00301C85">
        <w:rPr>
          <w:rFonts w:asciiTheme="majorHAnsi" w:hAnsiTheme="majorHAnsi"/>
        </w:rPr>
        <w:t xml:space="preserve">and </w:t>
      </w:r>
      <w:r w:rsidR="00BB608C" w:rsidRPr="00301C85">
        <w:rPr>
          <w:rFonts w:asciiTheme="majorHAnsi" w:hAnsiTheme="majorHAnsi"/>
        </w:rPr>
        <w:t>rigorous</w:t>
      </w:r>
      <w:r w:rsidR="0079774D" w:rsidRPr="00301C85">
        <w:rPr>
          <w:rFonts w:asciiTheme="majorHAnsi" w:hAnsiTheme="majorHAnsi"/>
        </w:rPr>
        <w:t xml:space="preserve"> </w:t>
      </w:r>
      <w:r w:rsidRPr="00301C85">
        <w:rPr>
          <w:rFonts w:asciiTheme="majorHAnsi" w:hAnsiTheme="majorHAnsi"/>
        </w:rPr>
        <w:t xml:space="preserve">approach. </w:t>
      </w:r>
    </w:p>
    <w:p w14:paraId="7EA76B85" w14:textId="77777777" w:rsidR="00771CB9" w:rsidRPr="00301C85" w:rsidRDefault="00771CB9" w:rsidP="009820FA">
      <w:pPr>
        <w:pStyle w:val="Normal1"/>
        <w:spacing w:line="360" w:lineRule="auto"/>
        <w:rPr>
          <w:rFonts w:asciiTheme="majorHAnsi" w:hAnsiTheme="majorHAnsi" w:cstheme="minorHAnsi"/>
        </w:rPr>
      </w:pPr>
    </w:p>
    <w:p w14:paraId="3C5FD843" w14:textId="7C4EF9A5" w:rsidR="00131488" w:rsidRPr="00301C85" w:rsidRDefault="0072268B" w:rsidP="009820FA">
      <w:pPr>
        <w:pStyle w:val="Normal1"/>
        <w:spacing w:line="360" w:lineRule="auto"/>
        <w:rPr>
          <w:rFonts w:asciiTheme="majorHAnsi" w:hAnsiTheme="majorHAnsi" w:cstheme="minorHAnsi"/>
        </w:rPr>
      </w:pPr>
      <w:r w:rsidRPr="00301C85">
        <w:rPr>
          <w:rFonts w:asciiTheme="majorHAnsi" w:hAnsiTheme="majorHAnsi" w:cstheme="minorHAnsi"/>
        </w:rPr>
        <w:t xml:space="preserve">The initial plan for the project had been to hold an interagency information sharing meeting in which the most </w:t>
      </w:r>
      <w:r w:rsidR="006B1E56">
        <w:rPr>
          <w:rFonts w:asciiTheme="majorHAnsi" w:hAnsiTheme="majorHAnsi" w:cstheme="minorHAnsi"/>
        </w:rPr>
        <w:t>‘</w:t>
      </w:r>
      <w:r w:rsidRPr="00301C85">
        <w:rPr>
          <w:rFonts w:asciiTheme="majorHAnsi" w:hAnsiTheme="majorHAnsi" w:cstheme="minorHAnsi"/>
        </w:rPr>
        <w:t>concerning</w:t>
      </w:r>
      <w:r w:rsidR="006B1E56">
        <w:rPr>
          <w:rFonts w:asciiTheme="majorHAnsi" w:hAnsiTheme="majorHAnsi" w:cstheme="minorHAnsi"/>
        </w:rPr>
        <w:t>’</w:t>
      </w:r>
      <w:r w:rsidRPr="00301C85">
        <w:rPr>
          <w:rFonts w:asciiTheme="majorHAnsi" w:hAnsiTheme="majorHAnsi" w:cstheme="minorHAnsi"/>
        </w:rPr>
        <w:t xml:space="preserve"> young men were identified together and experiences of their engagement with services would be identified. This would help frame plans for the remaining aspects of the project. This did not happen for ethical issues associated with such data </w:t>
      </w:r>
      <w:r w:rsidR="00A14F5C" w:rsidRPr="00301C85">
        <w:rPr>
          <w:rFonts w:asciiTheme="majorHAnsi" w:hAnsiTheme="majorHAnsi" w:cstheme="minorHAnsi"/>
        </w:rPr>
        <w:t>sharing but</w:t>
      </w:r>
      <w:r w:rsidRPr="00301C85">
        <w:rPr>
          <w:rFonts w:asciiTheme="majorHAnsi" w:hAnsiTheme="majorHAnsi" w:cstheme="minorHAnsi"/>
        </w:rPr>
        <w:t xml:space="preserve"> has been replaced by plans to disseminate and ‘sense check’ findings and proposals. </w:t>
      </w:r>
      <w:r w:rsidR="00771CB9" w:rsidRPr="00301C85">
        <w:rPr>
          <w:rFonts w:asciiTheme="majorHAnsi" w:hAnsiTheme="majorHAnsi" w:cstheme="minorHAnsi"/>
        </w:rPr>
        <w:t xml:space="preserve">The next planned phase of the project was to review existing data sets from within BHCC in order to identify a shortlist of young men to focus upon for the ‘deep dive’ element of the project and then in turn to use that element to identify a list of young men with different levels of voluntary and mandated involvement with services to invite to participate in the interview phase. The analysis of the existing data proved more complex than imagined given the seemingly </w:t>
      </w:r>
      <w:r w:rsidR="00771CB9" w:rsidRPr="00301C85">
        <w:rPr>
          <w:rFonts w:asciiTheme="majorHAnsi" w:hAnsiTheme="majorHAnsi" w:cstheme="minorHAnsi"/>
        </w:rPr>
        <w:lastRenderedPageBreak/>
        <w:t xml:space="preserve">incomplete nature of this (referred to elsewhere) and some challenges due to some </w:t>
      </w:r>
      <w:r w:rsidR="006B1E56">
        <w:rPr>
          <w:rFonts w:asciiTheme="majorHAnsi" w:hAnsiTheme="majorHAnsi" w:cstheme="minorHAnsi"/>
        </w:rPr>
        <w:t xml:space="preserve">apparent gaps </w:t>
      </w:r>
      <w:r w:rsidR="00771CB9" w:rsidRPr="00301C85">
        <w:rPr>
          <w:rFonts w:asciiTheme="majorHAnsi" w:hAnsiTheme="majorHAnsi" w:cstheme="minorHAnsi"/>
        </w:rPr>
        <w:t xml:space="preserve">within the data </w:t>
      </w:r>
      <w:r w:rsidR="006B1E56">
        <w:rPr>
          <w:rFonts w:asciiTheme="majorHAnsi" w:hAnsiTheme="majorHAnsi" w:cstheme="minorHAnsi"/>
        </w:rPr>
        <w:t xml:space="preserve">presented to the research team, albeit this was in 2019 and 2020 and may therefore reflect previous recording and reporting practices and </w:t>
      </w:r>
      <w:proofErr w:type="gramStart"/>
      <w:r w:rsidR="006B1E56">
        <w:rPr>
          <w:rFonts w:asciiTheme="majorHAnsi" w:hAnsiTheme="majorHAnsi" w:cstheme="minorHAnsi"/>
        </w:rPr>
        <w:t xml:space="preserve">systems </w:t>
      </w:r>
      <w:r w:rsidR="00771CB9" w:rsidRPr="00301C85">
        <w:rPr>
          <w:rFonts w:asciiTheme="majorHAnsi" w:hAnsiTheme="majorHAnsi" w:cstheme="minorHAnsi"/>
        </w:rPr>
        <w:t>.</w:t>
      </w:r>
      <w:proofErr w:type="gramEnd"/>
      <w:r w:rsidR="00771CB9" w:rsidRPr="00301C85">
        <w:rPr>
          <w:rFonts w:asciiTheme="majorHAnsi" w:hAnsiTheme="majorHAnsi" w:cstheme="minorHAnsi"/>
        </w:rPr>
        <w:t xml:space="preserve"> This provided some unintended learning points (</w:t>
      </w:r>
      <w:r w:rsidR="00771CB9" w:rsidRPr="00301C85">
        <w:rPr>
          <w:rFonts w:asciiTheme="majorHAnsi" w:hAnsiTheme="majorHAnsi" w:cstheme="minorHAnsi"/>
          <w:b/>
          <w:bCs/>
        </w:rPr>
        <w:t xml:space="preserve">see </w:t>
      </w:r>
      <w:r w:rsidR="00301C85" w:rsidRPr="00301C85">
        <w:rPr>
          <w:rFonts w:asciiTheme="majorHAnsi" w:hAnsiTheme="majorHAnsi" w:cstheme="minorHAnsi"/>
          <w:b/>
          <w:bCs/>
        </w:rPr>
        <w:t>conclusion and recommendations in section 6</w:t>
      </w:r>
      <w:r w:rsidR="00771CB9" w:rsidRPr="00301C85">
        <w:rPr>
          <w:rFonts w:asciiTheme="majorHAnsi" w:hAnsiTheme="majorHAnsi" w:cstheme="minorHAnsi"/>
        </w:rPr>
        <w:t>) but restricted the usefulness of the data itself</w:t>
      </w:r>
      <w:r w:rsidR="006B1E56">
        <w:rPr>
          <w:rFonts w:asciiTheme="majorHAnsi" w:hAnsiTheme="majorHAnsi" w:cstheme="minorHAnsi"/>
        </w:rPr>
        <w:t xml:space="preserve"> for the original intended purpose</w:t>
      </w:r>
      <w:r w:rsidR="00771CB9" w:rsidRPr="00301C85">
        <w:rPr>
          <w:rFonts w:asciiTheme="majorHAnsi" w:hAnsiTheme="majorHAnsi" w:cstheme="minorHAnsi"/>
        </w:rPr>
        <w:t xml:space="preserve">. However, from the datasets we were able to identify a spread of ages and apparent levels of concern in order to commence the ‘deep dive’ process, with the help of Adolescent Service colleagues who were able to check the suitability of our short list and add to this to ensure a reasonable ‘spread’ of focus. </w:t>
      </w:r>
    </w:p>
    <w:p w14:paraId="2640AF52" w14:textId="1A9298F6" w:rsidR="00771CB9" w:rsidRPr="00301C85" w:rsidRDefault="00771CB9" w:rsidP="009820FA">
      <w:pPr>
        <w:pStyle w:val="Normal1"/>
        <w:spacing w:line="360" w:lineRule="auto"/>
        <w:rPr>
          <w:rFonts w:asciiTheme="majorHAnsi" w:hAnsiTheme="majorHAnsi" w:cstheme="minorHAnsi"/>
        </w:rPr>
      </w:pPr>
    </w:p>
    <w:p w14:paraId="0502C361" w14:textId="5A8BD893" w:rsidR="00771CB9" w:rsidRPr="00301C85" w:rsidRDefault="00771CB9" w:rsidP="009820FA">
      <w:pPr>
        <w:pStyle w:val="Normal1"/>
        <w:spacing w:line="360" w:lineRule="auto"/>
        <w:rPr>
          <w:rFonts w:asciiTheme="majorHAnsi" w:hAnsiTheme="majorHAnsi" w:cstheme="minorHAnsi"/>
        </w:rPr>
      </w:pPr>
      <w:r w:rsidRPr="00301C85">
        <w:rPr>
          <w:rFonts w:asciiTheme="majorHAnsi" w:hAnsiTheme="majorHAnsi" w:cstheme="minorHAnsi"/>
        </w:rPr>
        <w:t xml:space="preserve">As already noted, the ‘deep dive’ phase of the project was curtailed as it was more time intensive than initially anticipated, due in part to the need to access two different systems, but also due to the urgency of moving to the interview phase. </w:t>
      </w:r>
      <w:r w:rsidR="00BB608C" w:rsidRPr="00301C85">
        <w:rPr>
          <w:rFonts w:asciiTheme="majorHAnsi" w:hAnsiTheme="majorHAnsi" w:cstheme="minorHAnsi"/>
        </w:rPr>
        <w:t>Thus,</w:t>
      </w:r>
      <w:r w:rsidRPr="00301C85">
        <w:rPr>
          <w:rFonts w:asciiTheme="majorHAnsi" w:hAnsiTheme="majorHAnsi" w:cstheme="minorHAnsi"/>
        </w:rPr>
        <w:t xml:space="preserve"> the deep dive element became more of a filtering tool to identify young men we wished to interview</w:t>
      </w:r>
      <w:r w:rsidR="009E3E0B" w:rsidRPr="00301C85">
        <w:rPr>
          <w:rFonts w:asciiTheme="majorHAnsi" w:hAnsiTheme="majorHAnsi" w:cstheme="minorHAnsi"/>
        </w:rPr>
        <w:t xml:space="preserve">, and less of a data gathering and analysis phase than planned, although this report does contain some of the learning from case records that had been analysed in full before the decision to curtail this process was made. </w:t>
      </w:r>
      <w:r w:rsidR="006B1E56">
        <w:rPr>
          <w:rFonts w:asciiTheme="majorHAnsi" w:hAnsiTheme="majorHAnsi" w:cstheme="minorHAnsi"/>
        </w:rPr>
        <w:t>COVID-19 public health restrictions also then prevented a return to deep dive processes due to the need access data from ‘on-site’ on BHCC premises</w:t>
      </w:r>
      <w:r w:rsidR="0080697E">
        <w:rPr>
          <w:rFonts w:asciiTheme="majorHAnsi" w:hAnsiTheme="majorHAnsi" w:cstheme="minorHAnsi"/>
        </w:rPr>
        <w:t>, although returning to this at a later date remains a possibility as part of any follow up activity or project</w:t>
      </w:r>
      <w:r w:rsidR="006B1E56">
        <w:rPr>
          <w:rFonts w:asciiTheme="majorHAnsi" w:hAnsiTheme="majorHAnsi" w:cstheme="minorHAnsi"/>
        </w:rPr>
        <w:t xml:space="preserve">. </w:t>
      </w:r>
    </w:p>
    <w:p w14:paraId="7B6BDA78" w14:textId="73A92194" w:rsidR="009E3E0B" w:rsidRPr="00301C85" w:rsidRDefault="009E3E0B" w:rsidP="009820FA">
      <w:pPr>
        <w:pStyle w:val="Normal1"/>
        <w:spacing w:line="360" w:lineRule="auto"/>
        <w:rPr>
          <w:rFonts w:asciiTheme="majorHAnsi" w:hAnsiTheme="majorHAnsi" w:cstheme="minorHAnsi"/>
        </w:rPr>
      </w:pPr>
    </w:p>
    <w:p w14:paraId="3A7A31DD" w14:textId="0DC035FF" w:rsidR="009E3E0B" w:rsidRPr="00301C85" w:rsidRDefault="009E3E0B" w:rsidP="260A14CD">
      <w:pPr>
        <w:pStyle w:val="Normal1"/>
        <w:spacing w:line="360" w:lineRule="auto"/>
        <w:rPr>
          <w:rFonts w:asciiTheme="majorHAnsi" w:hAnsiTheme="majorHAnsi"/>
        </w:rPr>
      </w:pPr>
      <w:r w:rsidRPr="00301C85">
        <w:rPr>
          <w:rFonts w:asciiTheme="majorHAnsi" w:hAnsiTheme="majorHAnsi"/>
        </w:rPr>
        <w:t>Despite several attempts by relevant BHCC colleagues, very few young men agreed to be interviewed from our original list and COVID</w:t>
      </w:r>
      <w:r w:rsidR="006B1E56">
        <w:rPr>
          <w:rFonts w:asciiTheme="majorHAnsi" w:hAnsiTheme="majorHAnsi"/>
        </w:rPr>
        <w:t>-19</w:t>
      </w:r>
      <w:r w:rsidRPr="00301C85">
        <w:rPr>
          <w:rFonts w:asciiTheme="majorHAnsi" w:hAnsiTheme="majorHAnsi"/>
        </w:rPr>
        <w:t xml:space="preserve"> impacted upon ability to meet with those in prisons or other secure facilities. </w:t>
      </w:r>
      <w:r w:rsidR="006B1E56">
        <w:rPr>
          <w:rFonts w:asciiTheme="majorHAnsi" w:hAnsiTheme="majorHAnsi"/>
        </w:rPr>
        <w:t xml:space="preserve">However, the views of young men and hearing their experiences and meaning associated with these directly, rather only from practitioners within the city remained key to this project and so alternative access arrangements were required. </w:t>
      </w:r>
      <w:r w:rsidRPr="00301C85">
        <w:rPr>
          <w:rFonts w:asciiTheme="majorHAnsi" w:hAnsiTheme="majorHAnsi"/>
        </w:rPr>
        <w:t>Whilst we were able to interview young men</w:t>
      </w:r>
      <w:r w:rsidR="006B1E56">
        <w:rPr>
          <w:rFonts w:asciiTheme="majorHAnsi" w:hAnsiTheme="majorHAnsi"/>
        </w:rPr>
        <w:t xml:space="preserve"> </w:t>
      </w:r>
      <w:r w:rsidR="006B1E56" w:rsidRPr="00301C85">
        <w:rPr>
          <w:rFonts w:asciiTheme="majorHAnsi" w:hAnsiTheme="majorHAnsi"/>
        </w:rPr>
        <w:t>who had experienced a range of life events and involvement with different services</w:t>
      </w:r>
      <w:r w:rsidR="006B1E56">
        <w:rPr>
          <w:rFonts w:asciiTheme="majorHAnsi" w:hAnsiTheme="majorHAnsi"/>
        </w:rPr>
        <w:t xml:space="preserve">, </w:t>
      </w:r>
      <w:r w:rsidRPr="00301C85">
        <w:rPr>
          <w:rFonts w:asciiTheme="majorHAnsi" w:hAnsiTheme="majorHAnsi"/>
        </w:rPr>
        <w:t xml:space="preserve">accessed via Steering Group members, these </w:t>
      </w:r>
      <w:r w:rsidR="006B1E56">
        <w:rPr>
          <w:rFonts w:asciiTheme="majorHAnsi" w:hAnsiTheme="majorHAnsi"/>
        </w:rPr>
        <w:t xml:space="preserve">young men </w:t>
      </w:r>
      <w:r w:rsidRPr="00301C85">
        <w:rPr>
          <w:rFonts w:asciiTheme="majorHAnsi" w:hAnsiTheme="majorHAnsi"/>
        </w:rPr>
        <w:t>were arguably at the less ‘severe’ end of offending and intervention level,</w:t>
      </w:r>
      <w:r w:rsidR="33BA4FAA" w:rsidRPr="00301C85">
        <w:rPr>
          <w:rFonts w:asciiTheme="majorHAnsi" w:hAnsiTheme="majorHAnsi"/>
        </w:rPr>
        <w:t xml:space="preserve"> and by definition </w:t>
      </w:r>
      <w:r w:rsidR="33BA4FAA" w:rsidRPr="00301C85">
        <w:rPr>
          <w:rFonts w:asciiTheme="majorHAnsi" w:hAnsiTheme="majorHAnsi"/>
        </w:rPr>
        <w:lastRenderedPageBreak/>
        <w:t>were engaged with at least one local service</w:t>
      </w:r>
      <w:r w:rsidR="7E92C609" w:rsidRPr="00301C85">
        <w:rPr>
          <w:rFonts w:asciiTheme="majorHAnsi" w:hAnsiTheme="majorHAnsi"/>
        </w:rPr>
        <w:t>,</w:t>
      </w:r>
      <w:r w:rsidRPr="00301C85">
        <w:rPr>
          <w:rFonts w:asciiTheme="majorHAnsi" w:hAnsiTheme="majorHAnsi"/>
        </w:rPr>
        <w:t xml:space="preserve"> their reflections and evaluations of what had helped and </w:t>
      </w:r>
      <w:r w:rsidR="14406759" w:rsidRPr="00301C85">
        <w:rPr>
          <w:rFonts w:asciiTheme="majorHAnsi" w:hAnsiTheme="majorHAnsi"/>
        </w:rPr>
        <w:t xml:space="preserve">what had </w:t>
      </w:r>
      <w:r w:rsidRPr="00301C85">
        <w:rPr>
          <w:rFonts w:asciiTheme="majorHAnsi" w:hAnsiTheme="majorHAnsi"/>
        </w:rPr>
        <w:t xml:space="preserve">not </w:t>
      </w:r>
      <w:r w:rsidR="00506EB4" w:rsidRPr="00301C85">
        <w:rPr>
          <w:rFonts w:asciiTheme="majorHAnsi" w:hAnsiTheme="majorHAnsi"/>
        </w:rPr>
        <w:t>remained</w:t>
      </w:r>
      <w:r w:rsidRPr="00301C85">
        <w:rPr>
          <w:rFonts w:asciiTheme="majorHAnsi" w:hAnsiTheme="majorHAnsi"/>
        </w:rPr>
        <w:t xml:space="preserve"> valid</w:t>
      </w:r>
      <w:r w:rsidR="25B6939E" w:rsidRPr="00301C85">
        <w:rPr>
          <w:rFonts w:asciiTheme="majorHAnsi" w:hAnsiTheme="majorHAnsi"/>
        </w:rPr>
        <w:t>, as do their reflections upon friends’ experiences too</w:t>
      </w:r>
      <w:r w:rsidRPr="00301C85">
        <w:rPr>
          <w:rFonts w:asciiTheme="majorHAnsi" w:hAnsiTheme="majorHAnsi"/>
        </w:rPr>
        <w:t xml:space="preserve">. </w:t>
      </w:r>
    </w:p>
    <w:p w14:paraId="1B8EF0DD" w14:textId="55BB208E" w:rsidR="009E3E0B" w:rsidRPr="00301C85" w:rsidRDefault="009E3E0B" w:rsidP="009820FA">
      <w:pPr>
        <w:pStyle w:val="Normal1"/>
        <w:spacing w:line="360" w:lineRule="auto"/>
        <w:rPr>
          <w:rFonts w:asciiTheme="majorHAnsi" w:hAnsiTheme="majorHAnsi" w:cstheme="minorHAnsi"/>
        </w:rPr>
      </w:pPr>
    </w:p>
    <w:p w14:paraId="06DCD25D" w14:textId="3C14957A" w:rsidR="009E3E0B" w:rsidRPr="00301C85" w:rsidRDefault="009E3E0B" w:rsidP="009820FA">
      <w:pPr>
        <w:pStyle w:val="Normal1"/>
        <w:spacing w:line="360" w:lineRule="auto"/>
        <w:rPr>
          <w:rFonts w:asciiTheme="majorHAnsi" w:hAnsiTheme="majorHAnsi" w:cstheme="minorHAnsi"/>
        </w:rPr>
      </w:pPr>
      <w:r w:rsidRPr="00301C85">
        <w:rPr>
          <w:rFonts w:asciiTheme="majorHAnsi" w:hAnsiTheme="majorHAnsi" w:cstheme="minorHAnsi"/>
        </w:rPr>
        <w:t>In addition, the partial and reduced involvement and representation of some key organisations within the steering group and interview phases of the project, including the police, organisations working with young men of colour, despite several attempts, was regrettable</w:t>
      </w:r>
      <w:r w:rsidR="00680B26" w:rsidRPr="00301C85">
        <w:rPr>
          <w:rFonts w:asciiTheme="majorHAnsi" w:hAnsiTheme="majorHAnsi" w:cstheme="minorHAnsi"/>
        </w:rPr>
        <w:t xml:space="preserve">, but significant learning from processes and interviews that were able to take place is detailed in this report.  </w:t>
      </w:r>
    </w:p>
    <w:p w14:paraId="3162AB59" w14:textId="31544CED" w:rsidR="00771CB9" w:rsidRPr="00301C85" w:rsidRDefault="00771CB9" w:rsidP="009820FA">
      <w:pPr>
        <w:pStyle w:val="Normal1"/>
        <w:spacing w:line="360" w:lineRule="auto"/>
        <w:rPr>
          <w:rFonts w:asciiTheme="majorHAnsi" w:hAnsiTheme="majorHAnsi" w:cstheme="minorHAnsi"/>
        </w:rPr>
      </w:pPr>
    </w:p>
    <w:p w14:paraId="335CE30A" w14:textId="6443ECBC" w:rsidR="006C15DA" w:rsidRPr="00301C85" w:rsidRDefault="00E41A0C" w:rsidP="009820FA">
      <w:pPr>
        <w:spacing w:line="360" w:lineRule="auto"/>
        <w:rPr>
          <w:rFonts w:asciiTheme="majorHAnsi" w:hAnsiTheme="majorHAnsi" w:cstheme="majorHAnsi"/>
          <w:b/>
          <w:bCs/>
        </w:rPr>
      </w:pPr>
      <w:r w:rsidRPr="00301C85">
        <w:rPr>
          <w:rFonts w:asciiTheme="majorHAnsi" w:hAnsiTheme="majorHAnsi" w:cstheme="majorHAnsi"/>
          <w:b/>
          <w:bCs/>
        </w:rPr>
        <w:br w:type="page"/>
      </w:r>
    </w:p>
    <w:p w14:paraId="3C838C83" w14:textId="77777777" w:rsidR="0079774D" w:rsidRPr="00A14F5C" w:rsidRDefault="0079774D" w:rsidP="0079774D">
      <w:pPr>
        <w:rPr>
          <w:rFonts w:asciiTheme="majorHAnsi" w:eastAsia="MS Mincho" w:hAnsiTheme="majorHAnsi" w:cstheme="majorHAnsi"/>
          <w:b/>
          <w:bCs/>
          <w:u w:val="single"/>
        </w:rPr>
      </w:pPr>
      <w:r w:rsidRPr="00A14F5C">
        <w:rPr>
          <w:rFonts w:asciiTheme="majorHAnsi" w:eastAsia="MS Mincho" w:hAnsiTheme="majorHAnsi" w:cstheme="majorHAnsi"/>
          <w:b/>
          <w:bCs/>
          <w:u w:val="single"/>
        </w:rPr>
        <w:lastRenderedPageBreak/>
        <w:t xml:space="preserve">2. </w:t>
      </w:r>
      <w:r w:rsidRPr="00A14F5C">
        <w:rPr>
          <w:rFonts w:ascii="Calibri" w:eastAsia="MS Mincho" w:hAnsi="Calibri" w:cs="Calibri"/>
          <w:b/>
          <w:bCs/>
          <w:u w:val="single"/>
        </w:rPr>
        <w:t>Literature</w:t>
      </w:r>
      <w:r w:rsidRPr="00A14F5C">
        <w:rPr>
          <w:rFonts w:asciiTheme="majorHAnsi" w:eastAsia="MS Mincho" w:hAnsiTheme="majorHAnsi" w:cstheme="majorHAnsi"/>
          <w:b/>
          <w:bCs/>
          <w:u w:val="single"/>
        </w:rPr>
        <w:t xml:space="preserve"> review </w:t>
      </w:r>
    </w:p>
    <w:p w14:paraId="1DB24D78" w14:textId="77777777" w:rsidR="0079774D" w:rsidRDefault="0079774D" w:rsidP="0079774D">
      <w:pPr>
        <w:spacing w:line="360" w:lineRule="auto"/>
        <w:rPr>
          <w:rFonts w:ascii="Calibri" w:eastAsia="MS Mincho" w:hAnsi="Calibri" w:cs="Calibri"/>
        </w:rPr>
      </w:pPr>
    </w:p>
    <w:p w14:paraId="5C52A778" w14:textId="77777777" w:rsidR="0079774D" w:rsidRDefault="0079774D" w:rsidP="0079774D">
      <w:pPr>
        <w:spacing w:line="360" w:lineRule="auto"/>
        <w:rPr>
          <w:rFonts w:ascii="Calibri" w:eastAsia="MS Mincho" w:hAnsi="Calibri" w:cs="Calibri"/>
        </w:rPr>
      </w:pPr>
      <w:r w:rsidRPr="00D57746">
        <w:rPr>
          <w:rFonts w:ascii="Calibri" w:eastAsia="MS Mincho" w:hAnsi="Calibri" w:cs="Calibri"/>
        </w:rPr>
        <w:t xml:space="preserve">The research questions formulated to help guide this literature review are:  </w:t>
      </w:r>
    </w:p>
    <w:p w14:paraId="69EF8D3E" w14:textId="77777777" w:rsidR="0079774D" w:rsidRPr="00D57746" w:rsidRDefault="0079774D" w:rsidP="0079774D">
      <w:pPr>
        <w:spacing w:line="360" w:lineRule="auto"/>
        <w:rPr>
          <w:rFonts w:ascii="Calibri" w:eastAsia="MS Mincho" w:hAnsi="Calibri" w:cs="Calibri"/>
        </w:rPr>
      </w:pPr>
    </w:p>
    <w:p w14:paraId="260A7DE2" w14:textId="77777777" w:rsidR="0079774D" w:rsidRPr="00D57746" w:rsidRDefault="0079774D" w:rsidP="0079774D">
      <w:pPr>
        <w:numPr>
          <w:ilvl w:val="0"/>
          <w:numId w:val="2"/>
        </w:numPr>
        <w:spacing w:line="360" w:lineRule="auto"/>
        <w:rPr>
          <w:rFonts w:ascii="Calibri" w:eastAsia="MS Mincho" w:hAnsi="Calibri" w:cs="Calibri"/>
          <w:i/>
          <w:iCs/>
        </w:rPr>
      </w:pPr>
      <w:r w:rsidRPr="00D57746">
        <w:rPr>
          <w:rFonts w:ascii="Calibri" w:eastAsia="MS Mincho" w:hAnsi="Calibri" w:cs="Calibri"/>
          <w:i/>
          <w:iCs/>
        </w:rPr>
        <w:t>What are the key themes identified in the literature about young men?</w:t>
      </w:r>
    </w:p>
    <w:p w14:paraId="7B8C1254" w14:textId="77777777" w:rsidR="0079774D" w:rsidRPr="00D57746" w:rsidRDefault="0079774D" w:rsidP="0079774D">
      <w:pPr>
        <w:numPr>
          <w:ilvl w:val="0"/>
          <w:numId w:val="2"/>
        </w:numPr>
        <w:spacing w:line="360" w:lineRule="auto"/>
        <w:rPr>
          <w:rFonts w:ascii="Calibri" w:eastAsia="MS Mincho" w:hAnsi="Calibri" w:cs="Calibri"/>
          <w:i/>
          <w:iCs/>
        </w:rPr>
      </w:pPr>
      <w:r w:rsidRPr="00D57746">
        <w:rPr>
          <w:rFonts w:ascii="Calibri" w:eastAsia="MS Mincho" w:hAnsi="Calibri" w:cs="Calibri"/>
          <w:i/>
          <w:iCs/>
        </w:rPr>
        <w:t>What does the literature tell us about the lived experiences of young men?</w:t>
      </w:r>
    </w:p>
    <w:p w14:paraId="47A80871" w14:textId="77777777" w:rsidR="0079774D" w:rsidRPr="00D57746" w:rsidRDefault="0079774D" w:rsidP="0079774D">
      <w:pPr>
        <w:numPr>
          <w:ilvl w:val="0"/>
          <w:numId w:val="2"/>
        </w:numPr>
        <w:spacing w:line="360" w:lineRule="auto"/>
        <w:rPr>
          <w:rFonts w:ascii="Calibri" w:eastAsia="MS Mincho" w:hAnsi="Calibri" w:cs="Calibri"/>
          <w:i/>
          <w:iCs/>
        </w:rPr>
      </w:pPr>
      <w:r w:rsidRPr="00D57746">
        <w:rPr>
          <w:rFonts w:ascii="Calibri" w:eastAsia="MS Mincho" w:hAnsi="Calibri" w:cs="Calibri"/>
          <w:i/>
          <w:iCs/>
        </w:rPr>
        <w:t>What methods of intervention are used to work with young men?</w:t>
      </w:r>
    </w:p>
    <w:p w14:paraId="1458AE7F" w14:textId="77777777" w:rsidR="0079774D" w:rsidRPr="00D57746" w:rsidRDefault="0079774D" w:rsidP="0079774D">
      <w:pPr>
        <w:numPr>
          <w:ilvl w:val="0"/>
          <w:numId w:val="2"/>
        </w:numPr>
        <w:spacing w:line="360" w:lineRule="auto"/>
        <w:rPr>
          <w:rFonts w:ascii="Calibri" w:eastAsia="MS Mincho" w:hAnsi="Calibri" w:cs="Calibri"/>
          <w:i/>
          <w:iCs/>
        </w:rPr>
      </w:pPr>
      <w:r w:rsidRPr="00D57746">
        <w:rPr>
          <w:rFonts w:ascii="Calibri" w:eastAsia="MS Mincho" w:hAnsi="Calibri" w:cs="Calibri"/>
          <w:i/>
          <w:iCs/>
        </w:rPr>
        <w:t>How can we draw upon these studies to guide the focus of this research project and develop effective interventions with young men in Brighton and Hove?</w:t>
      </w:r>
    </w:p>
    <w:p w14:paraId="292AF0A4" w14:textId="77777777" w:rsidR="0079774D" w:rsidRPr="00055D66" w:rsidRDefault="0079774D" w:rsidP="0079774D">
      <w:pPr>
        <w:spacing w:line="360" w:lineRule="auto"/>
        <w:rPr>
          <w:rFonts w:ascii="Calibri" w:eastAsia="MS Mincho" w:hAnsi="Calibri" w:cs="Calibri"/>
        </w:rPr>
      </w:pPr>
    </w:p>
    <w:p w14:paraId="6F5E8763" w14:textId="77777777" w:rsidR="0079774D" w:rsidRPr="00055D66" w:rsidRDefault="0079774D" w:rsidP="0079774D">
      <w:pPr>
        <w:spacing w:line="360" w:lineRule="auto"/>
        <w:rPr>
          <w:rFonts w:ascii="Calibri" w:eastAsia="MS Mincho" w:hAnsi="Calibri" w:cs="Calibri"/>
          <w:b/>
          <w:bCs/>
        </w:rPr>
      </w:pPr>
      <w:r w:rsidRPr="00055D66">
        <w:rPr>
          <w:rFonts w:ascii="Calibri" w:eastAsia="MS Mincho" w:hAnsi="Calibri" w:cs="Calibri"/>
          <w:b/>
          <w:bCs/>
        </w:rPr>
        <w:t>2.1 Introduction</w:t>
      </w:r>
      <w:r>
        <w:rPr>
          <w:rFonts w:ascii="Calibri" w:eastAsia="MS Mincho" w:hAnsi="Calibri" w:cs="Calibri"/>
          <w:b/>
          <w:bCs/>
        </w:rPr>
        <w:t xml:space="preserve"> </w:t>
      </w:r>
    </w:p>
    <w:p w14:paraId="187CC991" w14:textId="77777777" w:rsidR="0079774D" w:rsidRDefault="0079774D" w:rsidP="0079774D">
      <w:pPr>
        <w:spacing w:line="360" w:lineRule="auto"/>
        <w:rPr>
          <w:rFonts w:ascii="Calibri" w:eastAsia="MS Mincho" w:hAnsi="Calibri" w:cs="Calibri"/>
        </w:rPr>
      </w:pPr>
      <w:r w:rsidRPr="00055D66">
        <w:rPr>
          <w:rFonts w:ascii="Calibri" w:eastAsia="MS Mincho" w:hAnsi="Calibri" w:cs="Calibri"/>
        </w:rPr>
        <w:t>This literature review is concerned with exploring research and other literature into</w:t>
      </w:r>
      <w:r>
        <w:rPr>
          <w:rFonts w:ascii="Calibri" w:eastAsia="MS Mincho" w:hAnsi="Calibri" w:cs="Calibri"/>
        </w:rPr>
        <w:t>:</w:t>
      </w:r>
    </w:p>
    <w:p w14:paraId="064D8909" w14:textId="77777777" w:rsidR="0079774D" w:rsidRPr="00CE4ED9" w:rsidRDefault="0079774D" w:rsidP="0079774D">
      <w:pPr>
        <w:pStyle w:val="ListParagraph"/>
        <w:numPr>
          <w:ilvl w:val="0"/>
          <w:numId w:val="30"/>
        </w:numPr>
        <w:spacing w:line="360" w:lineRule="auto"/>
        <w:rPr>
          <w:rFonts w:ascii="Calibri" w:hAnsi="Calibri" w:cs="Calibri"/>
          <w:i/>
          <w:iCs/>
        </w:rPr>
      </w:pPr>
      <w:r w:rsidRPr="00CE4ED9">
        <w:rPr>
          <w:rFonts w:ascii="Calibri" w:hAnsi="Calibri" w:cs="Calibri"/>
          <w:i/>
          <w:iCs/>
        </w:rPr>
        <w:t xml:space="preserve">the </w:t>
      </w:r>
      <w:r w:rsidRPr="00CE4ED9">
        <w:rPr>
          <w:rFonts w:ascii="Calibri" w:hAnsi="Calibri" w:cs="Calibri"/>
          <w:b/>
          <w:bCs/>
          <w:i/>
          <w:iCs/>
        </w:rPr>
        <w:t>issues experienced by, and the associated behaviours of young men</w:t>
      </w:r>
      <w:r w:rsidRPr="00CE4ED9">
        <w:rPr>
          <w:rFonts w:ascii="Calibri" w:hAnsi="Calibri" w:cs="Calibri"/>
          <w:i/>
          <w:iCs/>
        </w:rPr>
        <w:t xml:space="preserve"> aged 14-25 regarded as in need of support; as well as considering</w:t>
      </w:r>
    </w:p>
    <w:p w14:paraId="678ECB13" w14:textId="14FFFC7B" w:rsidR="0079774D" w:rsidRDefault="0079774D" w:rsidP="0079774D">
      <w:pPr>
        <w:pStyle w:val="ListParagraph"/>
        <w:numPr>
          <w:ilvl w:val="0"/>
          <w:numId w:val="30"/>
        </w:numPr>
        <w:spacing w:line="360" w:lineRule="auto"/>
        <w:rPr>
          <w:rFonts w:ascii="Calibri" w:hAnsi="Calibri" w:cs="Calibri"/>
          <w:i/>
          <w:iCs/>
        </w:rPr>
      </w:pPr>
      <w:r w:rsidRPr="00CE4ED9">
        <w:rPr>
          <w:rFonts w:ascii="Calibri" w:hAnsi="Calibri" w:cs="Calibri"/>
          <w:b/>
          <w:bCs/>
          <w:i/>
          <w:iCs/>
        </w:rPr>
        <w:t>approaches and service interventions with young men</w:t>
      </w:r>
      <w:r>
        <w:rPr>
          <w:rFonts w:ascii="Calibri" w:hAnsi="Calibri" w:cs="Calibri"/>
          <w:i/>
          <w:iCs/>
        </w:rPr>
        <w:t xml:space="preserve"> </w:t>
      </w:r>
      <w:r w:rsidRPr="00CE4ED9">
        <w:rPr>
          <w:rFonts w:ascii="Calibri" w:hAnsi="Calibri" w:cs="Calibri"/>
          <w:i/>
          <w:iCs/>
        </w:rPr>
        <w:t xml:space="preserve">in response to these issues and behaviours. </w:t>
      </w:r>
    </w:p>
    <w:p w14:paraId="3B85ABE9" w14:textId="77777777" w:rsidR="00301C85" w:rsidRPr="00CE4ED9" w:rsidRDefault="00301C85" w:rsidP="00301C85">
      <w:pPr>
        <w:pStyle w:val="ListParagraph"/>
        <w:spacing w:line="360" w:lineRule="auto"/>
        <w:rPr>
          <w:rFonts w:ascii="Calibri" w:hAnsi="Calibri" w:cs="Calibri"/>
          <w:i/>
          <w:iCs/>
        </w:rPr>
      </w:pPr>
    </w:p>
    <w:p w14:paraId="6C118991" w14:textId="2226D81A"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Of particular interest are the lived experiences of these young men and approaches used to engage </w:t>
      </w:r>
      <w:r w:rsidR="00A8207C">
        <w:rPr>
          <w:rFonts w:ascii="Calibri" w:eastAsia="MS Mincho" w:hAnsi="Calibri" w:cs="Calibri"/>
        </w:rPr>
        <w:t>and</w:t>
      </w:r>
      <w:r w:rsidR="00A8207C" w:rsidRPr="00055D66">
        <w:rPr>
          <w:rFonts w:ascii="Calibri" w:eastAsia="MS Mincho" w:hAnsi="Calibri" w:cs="Calibri"/>
        </w:rPr>
        <w:t xml:space="preserve"> </w:t>
      </w:r>
      <w:r w:rsidRPr="00055D66">
        <w:rPr>
          <w:rFonts w:ascii="Calibri" w:eastAsia="MS Mincho" w:hAnsi="Calibri" w:cs="Calibri"/>
        </w:rPr>
        <w:t xml:space="preserve">work with them.  </w:t>
      </w:r>
    </w:p>
    <w:p w14:paraId="77D76E91" w14:textId="77777777" w:rsidR="0079774D" w:rsidRDefault="0079774D" w:rsidP="0079774D">
      <w:pPr>
        <w:spacing w:line="360" w:lineRule="auto"/>
        <w:rPr>
          <w:rFonts w:ascii="Calibri" w:eastAsia="MS Mincho" w:hAnsi="Calibri" w:cs="Calibri"/>
        </w:rPr>
      </w:pPr>
    </w:p>
    <w:p w14:paraId="1EB9AA49" w14:textId="473D34A9" w:rsidR="0079774D" w:rsidRDefault="0079774D" w:rsidP="0079774D">
      <w:pPr>
        <w:spacing w:line="360" w:lineRule="auto"/>
        <w:rPr>
          <w:rFonts w:ascii="Calibri" w:eastAsia="MS Mincho" w:hAnsi="Calibri" w:cs="Calibri"/>
        </w:rPr>
      </w:pPr>
      <w:r w:rsidRPr="4F258D4A">
        <w:rPr>
          <w:rFonts w:ascii="Calibri" w:eastAsia="MS Mincho" w:hAnsi="Calibri" w:cs="Calibri"/>
        </w:rPr>
        <w:t xml:space="preserve">The scope of this review includes only English language literature, but sources are both UK based and international research studies. Key themes and research evidence from a range of social science disciplines that have emerged from the literature have been identified and synthesised. Particular attention has been given to social work and related professions in relation to methods and approaches used to engage with and support young men. The reliability and validity of the different research methods used in the literature review have been critiqued, with focus on preferred methods and the strengths and limitations of the available research. </w:t>
      </w:r>
      <w:r w:rsidRPr="4F258D4A">
        <w:rPr>
          <w:rFonts w:ascii="Calibri" w:eastAsia="MS Mincho" w:hAnsi="Calibri" w:cs="Calibri"/>
        </w:rPr>
        <w:lastRenderedPageBreak/>
        <w:t>Grey literature (material available beyond published, more academic contexts) in relation to practice areas of education and practice intervention</w:t>
      </w:r>
      <w:r w:rsidR="7FA2AE13" w:rsidRPr="4F258D4A">
        <w:rPr>
          <w:rFonts w:ascii="Calibri" w:eastAsia="MS Mincho" w:hAnsi="Calibri" w:cs="Calibri"/>
        </w:rPr>
        <w:t>,</w:t>
      </w:r>
      <w:r w:rsidRPr="4F258D4A">
        <w:rPr>
          <w:rFonts w:ascii="Calibri" w:eastAsia="MS Mincho" w:hAnsi="Calibri" w:cs="Calibri"/>
        </w:rPr>
        <w:t xml:space="preserve"> have been included to give greater depth to current policy and practice that is not well documented or represented in the academic literature.  </w:t>
      </w:r>
      <w:r w:rsidR="00B07248" w:rsidRPr="4F258D4A">
        <w:rPr>
          <w:rFonts w:ascii="Calibri" w:eastAsia="MS Mincho" w:hAnsi="Calibri" w:cs="Calibri"/>
        </w:rPr>
        <w:t xml:space="preserve">However, very little organization-produced literature is methodologically sound and has often been written for funding purposes, rather than as an external evaluation, hence the relative lack of inclusion of such documents here, and this is a learning point for future interventions and pilots.   </w:t>
      </w:r>
      <w:r w:rsidRPr="4F258D4A">
        <w:rPr>
          <w:rFonts w:ascii="Calibri" w:eastAsia="MS Mincho" w:hAnsi="Calibri" w:cs="Calibri"/>
        </w:rPr>
        <w:t>A fuller version of this literature is available as an appendix to this report.</w:t>
      </w:r>
    </w:p>
    <w:p w14:paraId="53C684DD" w14:textId="77777777" w:rsidR="0079774D" w:rsidRDefault="0079774D" w:rsidP="0079774D">
      <w:pPr>
        <w:spacing w:line="360" w:lineRule="auto"/>
        <w:rPr>
          <w:rFonts w:ascii="Calibri" w:eastAsia="MS Mincho" w:hAnsi="Calibri" w:cs="Calibri"/>
        </w:rPr>
      </w:pPr>
    </w:p>
    <w:p w14:paraId="01E40408" w14:textId="627360BD" w:rsidR="0079774D" w:rsidRPr="00CE4ED9" w:rsidRDefault="0079774D" w:rsidP="0079774D">
      <w:pPr>
        <w:spacing w:line="360" w:lineRule="auto"/>
        <w:rPr>
          <w:rFonts w:ascii="Calibri" w:eastAsia="MS Mincho" w:hAnsi="Calibri" w:cs="Calibri"/>
        </w:rPr>
      </w:pPr>
      <w:r w:rsidRPr="260A14CD">
        <w:rPr>
          <w:rFonts w:ascii="Calibri" w:eastAsia="MS Mincho" w:hAnsi="Calibri" w:cs="Calibri"/>
        </w:rPr>
        <w:t xml:space="preserve">The theoretical underpinnings of this research are from combining elements of a various academic influences, </w:t>
      </w:r>
      <w:r w:rsidR="13FC8EC8" w:rsidRPr="260A14CD">
        <w:rPr>
          <w:rFonts w:ascii="Calibri" w:eastAsia="MS Mincho" w:hAnsi="Calibri" w:cs="Calibri"/>
        </w:rPr>
        <w:t>something which also reflects</w:t>
      </w:r>
      <w:r w:rsidRPr="260A14CD">
        <w:rPr>
          <w:rFonts w:ascii="Calibri" w:eastAsia="MS Mincho" w:hAnsi="Calibri" w:cs="Calibri"/>
        </w:rPr>
        <w:t xml:space="preserve"> the interdisciplinary nature of the research collaboration</w:t>
      </w:r>
      <w:r w:rsidR="18717012" w:rsidRPr="260A14CD">
        <w:rPr>
          <w:rFonts w:ascii="Calibri" w:eastAsia="MS Mincho" w:hAnsi="Calibri" w:cs="Calibri"/>
        </w:rPr>
        <w:t>, as well as reflecting the inter-</w:t>
      </w:r>
      <w:r w:rsidR="00BB608C" w:rsidRPr="260A14CD">
        <w:rPr>
          <w:rFonts w:ascii="Calibri" w:eastAsia="MS Mincho" w:hAnsi="Calibri" w:cs="Calibri"/>
        </w:rPr>
        <w:t>professional</w:t>
      </w:r>
      <w:r w:rsidR="18717012" w:rsidRPr="260A14CD">
        <w:rPr>
          <w:rFonts w:ascii="Calibri" w:eastAsia="MS Mincho" w:hAnsi="Calibri" w:cs="Calibri"/>
        </w:rPr>
        <w:t>/disciplinary nature of the ‘problems’ under consideration</w:t>
      </w:r>
      <w:r w:rsidRPr="260A14CD">
        <w:rPr>
          <w:rFonts w:ascii="Calibri" w:eastAsia="MS Mincho" w:hAnsi="Calibri" w:cs="Calibri"/>
        </w:rPr>
        <w:t xml:space="preserve">. In this literature review, theories most prominent are those relating to gender studies, sociology, social work, education, criminology and psychology/psychosocial studies. There is a focus on the literature of </w:t>
      </w:r>
      <w:r w:rsidRPr="260A14CD">
        <w:rPr>
          <w:rFonts w:ascii="Calibri" w:eastAsia="MS Mincho" w:hAnsi="Calibri" w:cs="Calibri"/>
          <w:i/>
          <w:iCs/>
        </w:rPr>
        <w:t>masculinity studies</w:t>
      </w:r>
      <w:r w:rsidRPr="260A14CD">
        <w:rPr>
          <w:rFonts w:ascii="Calibri" w:eastAsia="MS Mincho" w:hAnsi="Calibri" w:cs="Calibri"/>
        </w:rPr>
        <w:t xml:space="preserve"> </w:t>
      </w:r>
      <w:r w:rsidRPr="260A14CD">
        <w:rPr>
          <w:rFonts w:ascii="Calibri" w:eastAsia="MS Mincho" w:hAnsi="Calibri" w:cs="Calibri"/>
        </w:rPr>
        <w:fldChar w:fldCharType="begin" w:fldLock="1"/>
      </w:r>
      <w:r w:rsidRPr="260A14CD">
        <w:rPr>
          <w:rFonts w:ascii="Calibri" w:eastAsia="MS Mincho" w:hAnsi="Calibri" w:cs="Calibri"/>
        </w:rPr>
        <w:instrText>ADDIN CSL_CITATION {"citationItems":[{"id":"ITEM-1","itemData":{"DOI":"10.1108/QRJ-03-2014-0006","ISBN":"0000015008","ISSN":"14480980","PMID":"99990889","abstract":"Purpose – The purpose of this paper is to review the development of the field of knowledge about masculinities, and particularly to show the need for post-colonial perspectives. Design/methodology/approach – Reading major texts in the field and analysing their conclusions, inclusions, and exclusions. Findings – Study of masculinities is necessary to gain an adequate understanding of the whole field of gender relations. This field is now global, but the consequences of a global field of knowledge are not sufficiently recognized because of the continuing hegemony of the global north in theory, methodology, and academic networks. The coloniality of gender is outlined. Significant contributions from the global south are identified and the issues involved in decolonizing the field of masculinity studies are analysed. Research limitations/implications – Mainly Anglophone texts discussed. Practical implications – Redesign of curricula for teaching in this area; redeployment of resources in academic publishing and other knowledge production projects. Social implications – Knowledge in this area is relevant to HIV prevention, poverty reduction, economic development, prevention of violence, international conflict, and educational attainment. Originality/value – To stimulate rethinking among scholars in the field of masculinity and gender studies, and through them among those dealing with the practical issues mentioned.","author":[{"dropping-particle":"","family":"Connell","given":"Raewyn","non-dropping-particle":"","parse-names":false,"suffix":""}],"container-title":"Qualitative Research Journal","id":"ITEM-1","issue":"1","issued":{"date-parts":[["2014"]]},"page":"5-15","title":"The study of masculinities","type":"article-journal","volume":"14"},"uris":["http://www.mendeley.com/documents/?uuid=5cf22d80-2a67-4d24-aaca-e42c98330758"]}],"mendeley":{"formattedCitation":"(Connell, 2014)","plainTextFormattedCitation":"(Connell, 2014)","previouslyFormattedCitation":"(Connell, 2014)"},"properties":{"noteIndex":0},"schema":"https://github.com/citation-style-language/schema/raw/master/csl-citation.json"}</w:instrText>
      </w:r>
      <w:r w:rsidRPr="260A14CD">
        <w:rPr>
          <w:rFonts w:ascii="Calibri" w:eastAsia="MS Mincho" w:hAnsi="Calibri" w:cs="Calibri"/>
        </w:rPr>
        <w:fldChar w:fldCharType="separate"/>
      </w:r>
      <w:r w:rsidRPr="260A14CD">
        <w:rPr>
          <w:rFonts w:ascii="Calibri" w:eastAsia="MS Mincho" w:hAnsi="Calibri" w:cs="Calibri"/>
        </w:rPr>
        <w:t>(Connell, 2014)</w:t>
      </w:r>
      <w:r w:rsidRPr="260A14CD">
        <w:rPr>
          <w:rFonts w:ascii="Calibri" w:eastAsia="MS Mincho" w:hAnsi="Calibri" w:cs="Calibri"/>
        </w:rPr>
        <w:fldChar w:fldCharType="end"/>
      </w:r>
      <w:r w:rsidRPr="260A14CD">
        <w:rPr>
          <w:rFonts w:ascii="Calibri" w:eastAsia="MS Mincho" w:hAnsi="Calibri" w:cs="Calibri"/>
        </w:rPr>
        <w:t xml:space="preserve"> in relation to male specific traits and behaviours, also drawing on frameworks influenced by feminist theorist such as intersectionality </w:t>
      </w:r>
      <w:r w:rsidRPr="260A14CD">
        <w:rPr>
          <w:rFonts w:ascii="Calibri" w:eastAsia="MS Mincho" w:hAnsi="Calibri" w:cs="Calibri"/>
        </w:rPr>
        <w:fldChar w:fldCharType="begin" w:fldLock="1"/>
      </w:r>
      <w:r w:rsidRPr="260A14CD">
        <w:rPr>
          <w:rFonts w:ascii="Calibri" w:eastAsia="MS Mincho" w:hAnsi="Calibri" w:cs="Calibri"/>
        </w:rPr>
        <w:instrText>ADDIN CSL_CITATION {"citationItems":[{"id":"ITEM-1","itemData":{"DOI":"10.1016/0011-9164(90)80039-E","ISBN":"9780429969034","ISSN":"00119164","PMID":"21675331","abstract":"Desalination costs have been shown to have fallen considerably in real cost terms until the recent material cost rises occurred. It seems unlikely that entirely new processes will take the place of existing techniques during the next few years. The emphasis for development is therefore on steady improvements in existing processes. Savings in capital costs by cheaper materials and mass production of components and in operation and energy costs can all contribute to progressive rather than dramatic fall in real costs. It is probably only in brackish water and effluent treatment that desalination can become competitive with conventional treatment techniques in cost terms. There could be considerable scope for such applications in Third World as well as industrialized countries. © 1990.","author":[{"dropping-particle":"","family":"Crenshaw","given":"Kimberle","non-dropping-particle":"","parse-names":false,"suffix":""}],"container-title":"University of Chicago Legal Forum","id":"ITEM-1","issue":"2","issued":{"date-parts":[["1989"]]},"page":"147-156","title":"Demarginalizing the intersection of race and sex: A black feminist critique of antidiscrimination doctrine, feminist theory and antiracist politics. University of Chicago Legal Forum, 139, 139–167.","type":"article-journal","volume":"78"},"uris":["http://www.mendeley.com/documents/?uuid=39e83779-46e5-4d41-aca5-4825982890c8"]}],"mendeley":{"formattedCitation":"(Crenshaw, 1989)","plainTextFormattedCitation":"(Crenshaw, 1989)","previouslyFormattedCitation":"(Crenshaw, 1989)"},"properties":{"noteIndex":0},"schema":"https://github.com/citation-style-language/schema/raw/master/csl-citation.json"}</w:instrText>
      </w:r>
      <w:r w:rsidRPr="260A14CD">
        <w:rPr>
          <w:rFonts w:ascii="Calibri" w:eastAsia="MS Mincho" w:hAnsi="Calibri" w:cs="Calibri"/>
        </w:rPr>
        <w:fldChar w:fldCharType="separate"/>
      </w:r>
      <w:r w:rsidRPr="260A14CD">
        <w:rPr>
          <w:rFonts w:ascii="Calibri" w:eastAsia="MS Mincho" w:hAnsi="Calibri" w:cs="Calibri"/>
        </w:rPr>
        <w:t>(Crenshaw, 1989)</w:t>
      </w:r>
      <w:r w:rsidRPr="260A14CD">
        <w:rPr>
          <w:rFonts w:ascii="Calibri" w:eastAsia="MS Mincho" w:hAnsi="Calibri" w:cs="Calibri"/>
        </w:rPr>
        <w:fldChar w:fldCharType="end"/>
      </w:r>
      <w:r w:rsidRPr="260A14CD">
        <w:rPr>
          <w:rFonts w:ascii="Calibri" w:eastAsia="MS Mincho" w:hAnsi="Calibri" w:cs="Calibri"/>
        </w:rPr>
        <w:t>. There is a clear practice focus to the work, with documents including serious case reviews, and public health reports included.</w:t>
      </w:r>
    </w:p>
    <w:p w14:paraId="237B500B" w14:textId="77777777" w:rsidR="0079774D" w:rsidRPr="00CE4ED9" w:rsidRDefault="0079774D" w:rsidP="0079774D">
      <w:pPr>
        <w:spacing w:line="360" w:lineRule="auto"/>
        <w:rPr>
          <w:rFonts w:ascii="Calibri" w:eastAsia="MS Mincho" w:hAnsi="Calibri" w:cs="Calibri"/>
        </w:rPr>
      </w:pPr>
    </w:p>
    <w:p w14:paraId="4CBA851F" w14:textId="6B14BE79" w:rsidR="0079774D" w:rsidRDefault="0079774D" w:rsidP="0079774D">
      <w:pPr>
        <w:spacing w:line="360" w:lineRule="auto"/>
        <w:rPr>
          <w:rFonts w:ascii="Calibri" w:eastAsia="MS Mincho" w:hAnsi="Calibri" w:cs="Calibri"/>
        </w:rPr>
      </w:pPr>
      <w:r>
        <w:rPr>
          <w:rFonts w:ascii="Calibri" w:eastAsia="MS Mincho" w:hAnsi="Calibri" w:cs="Calibri"/>
        </w:rPr>
        <w:t xml:space="preserve">In relation to exploring </w:t>
      </w:r>
      <w:r w:rsidRPr="00170993">
        <w:rPr>
          <w:rFonts w:ascii="Calibri" w:eastAsia="MS Mincho" w:hAnsi="Calibri" w:cs="Calibri"/>
        </w:rPr>
        <w:t xml:space="preserve">the </w:t>
      </w:r>
      <w:r w:rsidRPr="00170993">
        <w:rPr>
          <w:rFonts w:ascii="Calibri" w:eastAsia="MS Mincho" w:hAnsi="Calibri" w:cs="Calibri"/>
          <w:b/>
          <w:bCs/>
          <w:i/>
          <w:iCs/>
        </w:rPr>
        <w:t>issues experienced by and the behaviours of young men</w:t>
      </w:r>
      <w:r>
        <w:rPr>
          <w:rFonts w:ascii="Calibri" w:eastAsia="MS Mincho" w:hAnsi="Calibri" w:cs="Calibri"/>
        </w:rPr>
        <w:t xml:space="preserve">, an </w:t>
      </w:r>
      <w:r w:rsidRPr="00055D66">
        <w:rPr>
          <w:rFonts w:ascii="Calibri" w:eastAsia="MS Mincho" w:hAnsi="Calibri" w:cs="Calibri"/>
        </w:rPr>
        <w:t xml:space="preserve">initial scoping of the literature </w:t>
      </w:r>
      <w:r w:rsidR="00B07248">
        <w:rPr>
          <w:rFonts w:ascii="Calibri" w:eastAsia="MS Mincho" w:hAnsi="Calibri" w:cs="Calibri"/>
        </w:rPr>
        <w:t xml:space="preserve">via academic databases </w:t>
      </w:r>
      <w:r w:rsidRPr="00055D66">
        <w:rPr>
          <w:rFonts w:ascii="Calibri" w:eastAsia="MS Mincho" w:hAnsi="Calibri" w:cs="Calibri"/>
        </w:rPr>
        <w:t xml:space="preserve">led to </w:t>
      </w:r>
      <w:r>
        <w:rPr>
          <w:rFonts w:ascii="Calibri" w:eastAsia="MS Mincho" w:hAnsi="Calibri" w:cs="Calibri"/>
        </w:rPr>
        <w:t xml:space="preserve">wider </w:t>
      </w:r>
      <w:r w:rsidRPr="00055D66">
        <w:rPr>
          <w:rFonts w:ascii="Calibri" w:eastAsia="MS Mincho" w:hAnsi="Calibri" w:cs="Calibri"/>
        </w:rPr>
        <w:t xml:space="preserve">list of </w:t>
      </w:r>
      <w:r>
        <w:rPr>
          <w:rFonts w:ascii="Calibri" w:eastAsia="MS Mincho" w:hAnsi="Calibri" w:cs="Calibri"/>
        </w:rPr>
        <w:t>emergent themes which was the conflated to focus on the following:</w:t>
      </w:r>
    </w:p>
    <w:p w14:paraId="2A91DFEA"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Masculinity</w:t>
      </w:r>
    </w:p>
    <w:p w14:paraId="3947CBD5"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 xml:space="preserve">Sexual health </w:t>
      </w:r>
    </w:p>
    <w:p w14:paraId="12636A39"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Education</w:t>
      </w:r>
    </w:p>
    <w:p w14:paraId="0AEEB6E5"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Abuse, isolation</w:t>
      </w:r>
      <w:r>
        <w:rPr>
          <w:rFonts w:ascii="Calibri" w:eastAsia="MS Mincho" w:hAnsi="Calibri" w:cs="Calibri"/>
        </w:rPr>
        <w:t xml:space="preserve"> and</w:t>
      </w:r>
      <w:r w:rsidRPr="00055D66">
        <w:rPr>
          <w:rFonts w:ascii="Calibri" w:eastAsia="MS Mincho" w:hAnsi="Calibri" w:cs="Calibri"/>
        </w:rPr>
        <w:t xml:space="preserve"> mental health</w:t>
      </w:r>
    </w:p>
    <w:p w14:paraId="02EB2CC9"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Alcohol and substance use</w:t>
      </w:r>
    </w:p>
    <w:p w14:paraId="1321DA56"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lastRenderedPageBreak/>
        <w:t>Family and social networks</w:t>
      </w:r>
    </w:p>
    <w:p w14:paraId="14C1DB61"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Crime and justice</w:t>
      </w:r>
    </w:p>
    <w:p w14:paraId="6C09E350" w14:textId="77777777" w:rsidR="0079774D" w:rsidRPr="00055D66" w:rsidRDefault="0079774D" w:rsidP="0079774D">
      <w:pPr>
        <w:numPr>
          <w:ilvl w:val="0"/>
          <w:numId w:val="3"/>
        </w:numPr>
        <w:spacing w:line="360" w:lineRule="auto"/>
        <w:contextualSpacing/>
        <w:rPr>
          <w:rFonts w:ascii="Calibri" w:eastAsia="MS Mincho" w:hAnsi="Calibri" w:cs="Calibri"/>
        </w:rPr>
      </w:pPr>
      <w:r w:rsidRPr="00055D66">
        <w:rPr>
          <w:rFonts w:ascii="Calibri" w:eastAsia="MS Mincho" w:hAnsi="Calibri" w:cs="Calibri"/>
        </w:rPr>
        <w:t>Radicalisation</w:t>
      </w:r>
    </w:p>
    <w:p w14:paraId="5262746A" w14:textId="77777777" w:rsidR="0079774D" w:rsidRDefault="0079774D" w:rsidP="0079774D">
      <w:pPr>
        <w:spacing w:line="360" w:lineRule="auto"/>
        <w:rPr>
          <w:rFonts w:ascii="Calibri" w:eastAsia="MS Mincho" w:hAnsi="Calibri" w:cs="Calibri"/>
        </w:rPr>
      </w:pPr>
    </w:p>
    <w:p w14:paraId="2618E631" w14:textId="77777777" w:rsidR="0079774D" w:rsidRDefault="0079774D" w:rsidP="0079774D">
      <w:pPr>
        <w:spacing w:line="360" w:lineRule="auto"/>
        <w:rPr>
          <w:rFonts w:ascii="Calibri" w:eastAsia="MS Mincho" w:hAnsi="Calibri" w:cs="Calibri"/>
        </w:rPr>
      </w:pPr>
      <w:r>
        <w:rPr>
          <w:rFonts w:ascii="Calibri" w:eastAsia="MS Mincho" w:hAnsi="Calibri" w:cs="Calibri"/>
        </w:rPr>
        <w:t xml:space="preserve">The exploration and review of </w:t>
      </w:r>
      <w:bookmarkStart w:id="0" w:name="_Hlk66203117"/>
      <w:r w:rsidRPr="00170993">
        <w:rPr>
          <w:rFonts w:ascii="Calibri" w:eastAsia="MS Mincho" w:hAnsi="Calibri" w:cs="Calibri"/>
          <w:b/>
          <w:bCs/>
          <w:i/>
          <w:iCs/>
        </w:rPr>
        <w:t>approaches and service interventions with young</w:t>
      </w:r>
      <w:r>
        <w:rPr>
          <w:rFonts w:ascii="Calibri" w:eastAsia="MS Mincho" w:hAnsi="Calibri" w:cs="Calibri"/>
        </w:rPr>
        <w:t xml:space="preserve"> </w:t>
      </w:r>
      <w:bookmarkEnd w:id="0"/>
      <w:r>
        <w:rPr>
          <w:rFonts w:ascii="Calibri" w:eastAsia="MS Mincho" w:hAnsi="Calibri" w:cs="Calibri"/>
        </w:rPr>
        <w:t>focus on:</w:t>
      </w:r>
    </w:p>
    <w:p w14:paraId="2443BDEB" w14:textId="77777777" w:rsidR="0079774D" w:rsidRPr="00170993" w:rsidRDefault="0079774D" w:rsidP="0079774D">
      <w:pPr>
        <w:pStyle w:val="ListParagraph"/>
        <w:numPr>
          <w:ilvl w:val="0"/>
          <w:numId w:val="31"/>
        </w:numPr>
        <w:spacing w:line="360" w:lineRule="auto"/>
        <w:rPr>
          <w:rFonts w:ascii="Calibri" w:hAnsi="Calibri" w:cs="Calibri"/>
        </w:rPr>
      </w:pPr>
      <w:r w:rsidRPr="00170993">
        <w:rPr>
          <w:rFonts w:ascii="Calibri" w:hAnsi="Calibri" w:cs="Calibri"/>
        </w:rPr>
        <w:t>Contextualising interventions</w:t>
      </w:r>
    </w:p>
    <w:p w14:paraId="55D9AB39" w14:textId="77777777" w:rsidR="0079774D" w:rsidRPr="00170993" w:rsidRDefault="0079774D" w:rsidP="0079774D">
      <w:pPr>
        <w:pStyle w:val="ListParagraph"/>
        <w:numPr>
          <w:ilvl w:val="0"/>
          <w:numId w:val="31"/>
        </w:numPr>
        <w:spacing w:line="360" w:lineRule="auto"/>
        <w:rPr>
          <w:rFonts w:ascii="Calibri" w:hAnsi="Calibri" w:cs="Calibri"/>
        </w:rPr>
      </w:pPr>
      <w:r w:rsidRPr="00170993">
        <w:rPr>
          <w:rFonts w:ascii="Calibri" w:hAnsi="Calibri" w:cs="Calibri"/>
        </w:rPr>
        <w:t>Barriers to intervention</w:t>
      </w:r>
    </w:p>
    <w:p w14:paraId="1A8A9528" w14:textId="77777777" w:rsidR="0079774D" w:rsidRPr="0045067F" w:rsidRDefault="0079774D" w:rsidP="0079774D">
      <w:pPr>
        <w:pStyle w:val="ListParagraph"/>
        <w:numPr>
          <w:ilvl w:val="0"/>
          <w:numId w:val="31"/>
        </w:numPr>
        <w:spacing w:line="360" w:lineRule="auto"/>
        <w:rPr>
          <w:rFonts w:ascii="Calibri" w:hAnsi="Calibri" w:cs="Calibri"/>
        </w:rPr>
      </w:pPr>
      <w:r w:rsidRPr="0045067F">
        <w:rPr>
          <w:rFonts w:ascii="Calibri" w:hAnsi="Calibri" w:cs="Calibri"/>
        </w:rPr>
        <w:t>Gendered interventions</w:t>
      </w:r>
    </w:p>
    <w:p w14:paraId="5188E524" w14:textId="77777777" w:rsidR="0079774D" w:rsidRPr="00170993" w:rsidRDefault="0079774D" w:rsidP="0079774D">
      <w:pPr>
        <w:pStyle w:val="ListParagraph"/>
        <w:numPr>
          <w:ilvl w:val="0"/>
          <w:numId w:val="31"/>
        </w:numPr>
        <w:spacing w:line="360" w:lineRule="auto"/>
        <w:rPr>
          <w:rFonts w:ascii="Calibri" w:hAnsi="Calibri" w:cs="Calibri"/>
        </w:rPr>
      </w:pPr>
      <w:r w:rsidRPr="00170993">
        <w:rPr>
          <w:rFonts w:ascii="Calibri" w:hAnsi="Calibri" w:cs="Calibri"/>
        </w:rPr>
        <w:t>Intervention models</w:t>
      </w:r>
    </w:p>
    <w:p w14:paraId="0BCB661B" w14:textId="77777777" w:rsidR="0079774D" w:rsidRDefault="0079774D" w:rsidP="0079774D">
      <w:pPr>
        <w:pStyle w:val="ListParagraph"/>
        <w:numPr>
          <w:ilvl w:val="0"/>
          <w:numId w:val="31"/>
        </w:numPr>
        <w:spacing w:line="360" w:lineRule="auto"/>
        <w:rPr>
          <w:rFonts w:ascii="Calibri" w:hAnsi="Calibri" w:cs="Calibri"/>
        </w:rPr>
      </w:pPr>
      <w:r w:rsidRPr="00170993">
        <w:rPr>
          <w:rFonts w:ascii="Calibri" w:hAnsi="Calibri" w:cs="Calibri"/>
        </w:rPr>
        <w:t>Targeted interventions</w:t>
      </w:r>
    </w:p>
    <w:p w14:paraId="1518CCFD" w14:textId="77777777" w:rsidR="0079774D" w:rsidRDefault="0079774D" w:rsidP="0079774D">
      <w:pPr>
        <w:spacing w:line="360" w:lineRule="auto"/>
        <w:rPr>
          <w:rFonts w:ascii="Calibri" w:hAnsi="Calibri" w:cs="Calibri"/>
        </w:rPr>
      </w:pPr>
    </w:p>
    <w:p w14:paraId="737CBBB5" w14:textId="4B6B21DC" w:rsidR="0079774D" w:rsidRPr="00D57746" w:rsidRDefault="4D10C644" w:rsidP="0079774D">
      <w:pPr>
        <w:spacing w:line="360" w:lineRule="auto"/>
        <w:rPr>
          <w:rFonts w:ascii="Calibri" w:eastAsia="MS Mincho" w:hAnsi="Calibri" w:cs="Calibri"/>
        </w:rPr>
      </w:pPr>
      <w:r w:rsidRPr="577E6DFB">
        <w:rPr>
          <w:rFonts w:ascii="Calibri" w:hAnsi="Calibri" w:cs="Calibri"/>
        </w:rPr>
        <w:t xml:space="preserve">To conclude, </w:t>
      </w:r>
      <w:r w:rsidR="0079774D" w:rsidRPr="577E6DFB">
        <w:rPr>
          <w:rFonts w:ascii="Calibri" w:hAnsi="Calibri" w:cs="Calibri"/>
        </w:rPr>
        <w:t xml:space="preserve">the </w:t>
      </w:r>
      <w:r w:rsidR="0079774D" w:rsidRPr="577E6DFB">
        <w:rPr>
          <w:rFonts w:ascii="Calibri" w:eastAsia="MS Mincho" w:hAnsi="Calibri" w:cs="Calibri"/>
          <w:b/>
          <w:bCs/>
        </w:rPr>
        <w:t>Roca High-Risk Young Men Intervention Model (HYMIM)</w:t>
      </w:r>
      <w:r w:rsidR="0079774D" w:rsidRPr="577E6DFB">
        <w:rPr>
          <w:rFonts w:ascii="Calibri" w:eastAsia="MS Mincho" w:hAnsi="Calibri" w:cs="Calibri"/>
        </w:rPr>
        <w:t xml:space="preserve"> is presented in some detail, with its potential </w:t>
      </w:r>
      <w:r w:rsidR="00B07248" w:rsidRPr="577E6DFB">
        <w:rPr>
          <w:rFonts w:ascii="Calibri" w:eastAsia="MS Mincho" w:hAnsi="Calibri" w:cs="Calibri"/>
        </w:rPr>
        <w:t xml:space="preserve">to be adapted </w:t>
      </w:r>
      <w:r w:rsidR="00BB608C" w:rsidRPr="577E6DFB">
        <w:rPr>
          <w:rFonts w:ascii="Calibri" w:eastAsia="MS Mincho" w:hAnsi="Calibri" w:cs="Calibri"/>
        </w:rPr>
        <w:t>and developed</w:t>
      </w:r>
      <w:r w:rsidR="0079774D" w:rsidRPr="577E6DFB">
        <w:rPr>
          <w:rFonts w:ascii="Calibri" w:eastAsia="MS Mincho" w:hAnsi="Calibri" w:cs="Calibri"/>
        </w:rPr>
        <w:t xml:space="preserve"> in Brighton and Hove considered</w:t>
      </w:r>
      <w:r w:rsidR="3A289426" w:rsidRPr="577E6DFB">
        <w:rPr>
          <w:rFonts w:ascii="Calibri" w:eastAsia="MS Mincho" w:hAnsi="Calibri" w:cs="Calibri"/>
        </w:rPr>
        <w:t>, and there is acknowledgement of the evidence supporting the Risk-Needs-Responsivity</w:t>
      </w:r>
      <w:r w:rsidR="00BB608C">
        <w:rPr>
          <w:rFonts w:ascii="Calibri" w:eastAsia="MS Mincho" w:hAnsi="Calibri" w:cs="Calibri"/>
        </w:rPr>
        <w:t xml:space="preserve"> (RNR)</w:t>
      </w:r>
      <w:r w:rsidR="3A289426" w:rsidRPr="577E6DFB">
        <w:rPr>
          <w:rFonts w:ascii="Calibri" w:eastAsia="MS Mincho" w:hAnsi="Calibri" w:cs="Calibri"/>
        </w:rPr>
        <w:t xml:space="preserve"> model for reducing offending.</w:t>
      </w:r>
    </w:p>
    <w:p w14:paraId="1339F8A1" w14:textId="77777777" w:rsidR="0079774D" w:rsidRDefault="0079774D" w:rsidP="0079774D">
      <w:pPr>
        <w:spacing w:line="360" w:lineRule="auto"/>
        <w:rPr>
          <w:rFonts w:ascii="Calibri" w:eastAsia="MS Mincho" w:hAnsi="Calibri" w:cs="Calibri"/>
          <w:b/>
          <w:bCs/>
        </w:rPr>
      </w:pPr>
    </w:p>
    <w:p w14:paraId="3204054A" w14:textId="77777777" w:rsidR="0079774D" w:rsidRDefault="0079774D" w:rsidP="0079774D">
      <w:pPr>
        <w:spacing w:line="360" w:lineRule="auto"/>
        <w:rPr>
          <w:rFonts w:ascii="Calibri" w:eastAsia="MS Mincho" w:hAnsi="Calibri" w:cs="Calibri"/>
          <w:b/>
          <w:bCs/>
        </w:rPr>
      </w:pPr>
      <w:r w:rsidRPr="00176E98">
        <w:rPr>
          <w:rFonts w:ascii="Calibri" w:eastAsia="MS Mincho" w:hAnsi="Calibri" w:cs="Calibri"/>
          <w:b/>
          <w:bCs/>
        </w:rPr>
        <w:t>2.2 Issues experienced by and associated behaviours of young men</w:t>
      </w:r>
    </w:p>
    <w:p w14:paraId="7D48B629" w14:textId="77777777" w:rsidR="00724275" w:rsidRDefault="00724275" w:rsidP="46D54B89">
      <w:pPr>
        <w:spacing w:line="360" w:lineRule="auto"/>
        <w:rPr>
          <w:rFonts w:ascii="Calibri" w:eastAsia="MS Mincho" w:hAnsi="Calibri" w:cs="Calibri"/>
          <w:i/>
          <w:iCs/>
        </w:rPr>
      </w:pPr>
    </w:p>
    <w:p w14:paraId="5F4BC8B0" w14:textId="5DF2A060" w:rsidR="0079774D" w:rsidRPr="00176E98" w:rsidRDefault="0079774D" w:rsidP="46D54B89">
      <w:pPr>
        <w:spacing w:line="360" w:lineRule="auto"/>
        <w:rPr>
          <w:rFonts w:ascii="Calibri" w:eastAsia="MS Mincho" w:hAnsi="Calibri" w:cs="Calibri"/>
          <w:i/>
          <w:iCs/>
        </w:rPr>
      </w:pPr>
      <w:r w:rsidRPr="46D54B89">
        <w:rPr>
          <w:rFonts w:ascii="Calibri" w:eastAsia="MS Mincho" w:hAnsi="Calibri" w:cs="Calibri"/>
          <w:i/>
          <w:iCs/>
        </w:rPr>
        <w:t xml:space="preserve">2.2.1 Masculinity </w:t>
      </w:r>
      <w:r w:rsidR="00301C85">
        <w:rPr>
          <w:rFonts w:ascii="Calibri" w:eastAsia="MS Mincho" w:hAnsi="Calibri" w:cs="Calibri"/>
          <w:i/>
          <w:iCs/>
        </w:rPr>
        <w:t>and vulnerability</w:t>
      </w:r>
    </w:p>
    <w:p w14:paraId="34EABFAB" w14:textId="4EEB0213" w:rsidR="004E016F" w:rsidRDefault="0079774D" w:rsidP="0079774D">
      <w:pPr>
        <w:spacing w:line="360" w:lineRule="auto"/>
        <w:rPr>
          <w:rFonts w:ascii="Calibri" w:eastAsia="MS Mincho" w:hAnsi="Calibri" w:cs="Calibri"/>
        </w:rPr>
      </w:pPr>
      <w:r w:rsidRPr="260A14CD">
        <w:rPr>
          <w:rFonts w:ascii="Calibri" w:eastAsia="MS Mincho" w:hAnsi="Calibri" w:cs="Calibri"/>
        </w:rPr>
        <w:t xml:space="preserve">Cultural debates about gender and masculinity became recognised as a field of research in the </w:t>
      </w:r>
      <w:r w:rsidR="44F55059" w:rsidRPr="260A14CD">
        <w:rPr>
          <w:rFonts w:ascii="Calibri" w:eastAsia="MS Mincho" w:hAnsi="Calibri" w:cs="Calibri"/>
        </w:rPr>
        <w:t>Global North in</w:t>
      </w:r>
      <w:r w:rsidRPr="260A14CD">
        <w:rPr>
          <w:rFonts w:ascii="Calibri" w:eastAsia="MS Mincho" w:hAnsi="Calibri" w:cs="Calibri"/>
        </w:rPr>
        <w:t xml:space="preserve"> the 1980s, and during this period, the development of a social theory of gender relations through ‘women’s’ </w:t>
      </w:r>
      <w:proofErr w:type="gramStart"/>
      <w:r w:rsidRPr="260A14CD">
        <w:rPr>
          <w:rFonts w:ascii="Calibri" w:eastAsia="MS Mincho" w:hAnsi="Calibri" w:cs="Calibri"/>
        </w:rPr>
        <w:t>studies’</w:t>
      </w:r>
      <w:proofErr w:type="gramEnd"/>
      <w:r w:rsidRPr="260A14CD">
        <w:rPr>
          <w:rFonts w:ascii="Calibri" w:eastAsia="MS Mincho" w:hAnsi="Calibri" w:cs="Calibri"/>
        </w:rPr>
        <w:t xml:space="preserve"> emerged. In the 1990s, empirical research began to take on ideas from post-structuralist thought about the discursive construction of masculinities. ‘Hegemonic masculinity’ (Connell</w:t>
      </w:r>
      <w:r w:rsidR="00331689">
        <w:rPr>
          <w:rFonts w:ascii="Calibri" w:eastAsia="MS Mincho" w:hAnsi="Calibri" w:cs="Calibri"/>
        </w:rPr>
        <w:t>, 2005</w:t>
      </w:r>
      <w:r w:rsidRPr="260A14CD">
        <w:rPr>
          <w:rFonts w:ascii="Calibri" w:eastAsia="MS Mincho" w:hAnsi="Calibri" w:cs="Calibri"/>
        </w:rPr>
        <w:t xml:space="preserve">) was a </w:t>
      </w:r>
      <w:r w:rsidR="7EDB5A07" w:rsidRPr="260A14CD">
        <w:rPr>
          <w:rFonts w:ascii="Calibri" w:eastAsia="MS Mincho" w:hAnsi="Calibri" w:cs="Calibri"/>
        </w:rPr>
        <w:t xml:space="preserve">concept introduced in order to describe the </w:t>
      </w:r>
      <w:r w:rsidR="05B0B916" w:rsidRPr="260A14CD">
        <w:rPr>
          <w:rFonts w:ascii="Calibri" w:eastAsia="MS Mincho" w:hAnsi="Calibri" w:cs="Calibri"/>
        </w:rPr>
        <w:t xml:space="preserve">cultural privilege afforded to some </w:t>
      </w:r>
      <w:r w:rsidRPr="260A14CD">
        <w:rPr>
          <w:rFonts w:ascii="Calibri" w:eastAsia="MS Mincho" w:hAnsi="Calibri" w:cs="Calibri"/>
        </w:rPr>
        <w:t>men</w:t>
      </w:r>
      <w:r w:rsidR="32DE44C4" w:rsidRPr="260A14CD">
        <w:rPr>
          <w:rFonts w:ascii="Calibri" w:eastAsia="MS Mincho" w:hAnsi="Calibri" w:cs="Calibri"/>
        </w:rPr>
        <w:t>, and to help conceptualise inequalities</w:t>
      </w:r>
      <w:r w:rsidRPr="260A14CD">
        <w:rPr>
          <w:rFonts w:ascii="Calibri" w:eastAsia="MS Mincho" w:hAnsi="Calibri" w:cs="Calibri"/>
        </w:rPr>
        <w:t xml:space="preserve"> in </w:t>
      </w:r>
      <w:r w:rsidR="102F488D" w:rsidRPr="260A14CD">
        <w:rPr>
          <w:rFonts w:ascii="Calibri" w:eastAsia="MS Mincho" w:hAnsi="Calibri" w:cs="Calibri"/>
        </w:rPr>
        <w:t xml:space="preserve">the </w:t>
      </w:r>
      <w:r w:rsidRPr="260A14CD">
        <w:rPr>
          <w:rFonts w:ascii="Calibri" w:eastAsia="MS Mincho" w:hAnsi="Calibri" w:cs="Calibri"/>
        </w:rPr>
        <w:t xml:space="preserve">gender order. </w:t>
      </w:r>
    </w:p>
    <w:p w14:paraId="08EC3CB2" w14:textId="77777777" w:rsidR="004E016F" w:rsidRDefault="004E016F" w:rsidP="0079774D">
      <w:pPr>
        <w:spacing w:line="360" w:lineRule="auto"/>
        <w:rPr>
          <w:rFonts w:ascii="Calibri" w:eastAsia="MS Mincho" w:hAnsi="Calibri" w:cs="Calibri"/>
        </w:rPr>
      </w:pPr>
    </w:p>
    <w:p w14:paraId="26FC89AB" w14:textId="7950847A" w:rsidR="004E016F" w:rsidRDefault="007B311A" w:rsidP="0079774D">
      <w:pPr>
        <w:spacing w:line="360" w:lineRule="auto"/>
        <w:rPr>
          <w:rFonts w:ascii="Calibri" w:eastAsia="MS Mincho" w:hAnsi="Calibri" w:cs="Calibri"/>
        </w:rPr>
      </w:pPr>
      <w:r>
        <w:rPr>
          <w:rFonts w:ascii="Calibri" w:eastAsia="MS Mincho" w:hAnsi="Calibri" w:cs="Calibri"/>
        </w:rPr>
        <w:lastRenderedPageBreak/>
        <w:t>Hegemonic masculinity does not refer to a ‘type’ of masculinity</w:t>
      </w:r>
      <w:r w:rsidR="00D71170">
        <w:rPr>
          <w:rFonts w:ascii="Calibri" w:eastAsia="MS Mincho" w:hAnsi="Calibri" w:cs="Calibri"/>
        </w:rPr>
        <w:t>,</w:t>
      </w:r>
      <w:r>
        <w:rPr>
          <w:rFonts w:ascii="Calibri" w:eastAsia="MS Mincho" w:hAnsi="Calibri" w:cs="Calibri"/>
        </w:rPr>
        <w:t xml:space="preserve"> but rather a way of ‘doing’ masculinity that subjugates women and other men. In contemporary Anglophone countries, it is commonly characterised by </w:t>
      </w:r>
      <w:r w:rsidR="00380430">
        <w:rPr>
          <w:rFonts w:ascii="Calibri" w:eastAsia="MS Mincho" w:hAnsi="Calibri" w:cs="Calibri"/>
        </w:rPr>
        <w:t xml:space="preserve">indicators of traditional or ‘orthodox’ masculinity, including </w:t>
      </w:r>
      <w:r>
        <w:rPr>
          <w:rFonts w:ascii="Calibri" w:eastAsia="MS Mincho" w:hAnsi="Calibri" w:cs="Calibri"/>
        </w:rPr>
        <w:t xml:space="preserve">physical strength, restricted emotionality, financial success (being the </w:t>
      </w:r>
      <w:r w:rsidR="00D71170">
        <w:rPr>
          <w:rFonts w:ascii="Calibri" w:eastAsia="MS Mincho" w:hAnsi="Calibri" w:cs="Calibri"/>
        </w:rPr>
        <w:t>‘</w:t>
      </w:r>
      <w:r>
        <w:rPr>
          <w:rFonts w:ascii="Calibri" w:eastAsia="MS Mincho" w:hAnsi="Calibri" w:cs="Calibri"/>
        </w:rPr>
        <w:t xml:space="preserve">breadwinner’), </w:t>
      </w:r>
      <w:r w:rsidR="000E19C4">
        <w:rPr>
          <w:rFonts w:ascii="Calibri" w:eastAsia="MS Mincho" w:hAnsi="Calibri" w:cs="Calibri"/>
        </w:rPr>
        <w:t>and overt heterosexuality (Connell, 2005). Not all men are able to embody hegemonic masculinity, but all men (and women) are positioned in relation to it, and the extent to which an individual endorses it has implications for the types of behaviours and attributes they may display</w:t>
      </w:r>
      <w:r w:rsidR="00380430">
        <w:rPr>
          <w:rFonts w:ascii="Calibri" w:eastAsia="MS Mincho" w:hAnsi="Calibri" w:cs="Calibri"/>
        </w:rPr>
        <w:t xml:space="preserve">. </w:t>
      </w:r>
      <w:r w:rsidR="00751E4B">
        <w:rPr>
          <w:rFonts w:ascii="Calibri" w:eastAsia="MS Mincho" w:hAnsi="Calibri" w:cs="Calibri"/>
        </w:rPr>
        <w:t>Some of these may be generall</w:t>
      </w:r>
      <w:r w:rsidR="004E016F">
        <w:rPr>
          <w:rFonts w:ascii="Calibri" w:eastAsia="MS Mincho" w:hAnsi="Calibri" w:cs="Calibri"/>
        </w:rPr>
        <w:t>y</w:t>
      </w:r>
      <w:r w:rsidR="00751E4B">
        <w:rPr>
          <w:rFonts w:ascii="Calibri" w:eastAsia="MS Mincho" w:hAnsi="Calibri" w:cs="Calibri"/>
        </w:rPr>
        <w:t xml:space="preserve"> health and wellbeing-promoting – for example, engagement in team sport – but many are damaging for </w:t>
      </w:r>
      <w:r w:rsidR="00BD5FCA">
        <w:rPr>
          <w:rFonts w:ascii="Calibri" w:eastAsia="MS Mincho" w:hAnsi="Calibri" w:cs="Calibri"/>
        </w:rPr>
        <w:t xml:space="preserve">both </w:t>
      </w:r>
      <w:r w:rsidR="00751E4B">
        <w:rPr>
          <w:rFonts w:ascii="Calibri" w:eastAsia="MS Mincho" w:hAnsi="Calibri" w:cs="Calibri"/>
        </w:rPr>
        <w:t xml:space="preserve">individuals </w:t>
      </w:r>
      <w:r w:rsidR="004E016F">
        <w:rPr>
          <w:rFonts w:ascii="Calibri" w:eastAsia="MS Mincho" w:hAnsi="Calibri" w:cs="Calibri"/>
        </w:rPr>
        <w:t xml:space="preserve">and </w:t>
      </w:r>
      <w:r w:rsidR="00751E4B">
        <w:rPr>
          <w:rFonts w:ascii="Calibri" w:eastAsia="MS Mincho" w:hAnsi="Calibri" w:cs="Calibri"/>
        </w:rPr>
        <w:t>society, and the</w:t>
      </w:r>
      <w:r w:rsidR="00D71170">
        <w:rPr>
          <w:rFonts w:ascii="Calibri" w:eastAsia="MS Mincho" w:hAnsi="Calibri" w:cs="Calibri"/>
        </w:rPr>
        <w:t xml:space="preserve">se </w:t>
      </w:r>
      <w:r w:rsidR="00751E4B">
        <w:rPr>
          <w:rFonts w:ascii="Calibri" w:eastAsia="MS Mincho" w:hAnsi="Calibri" w:cs="Calibri"/>
        </w:rPr>
        <w:t>include h</w:t>
      </w:r>
      <w:r w:rsidR="00380430">
        <w:rPr>
          <w:rFonts w:ascii="Calibri" w:eastAsia="MS Mincho" w:hAnsi="Calibri" w:cs="Calibri"/>
        </w:rPr>
        <w:t xml:space="preserve">eavy alcohol consumption, </w:t>
      </w:r>
      <w:r w:rsidR="004E016F">
        <w:rPr>
          <w:rFonts w:ascii="Calibri" w:eastAsia="MS Mincho" w:hAnsi="Calibri" w:cs="Calibri"/>
        </w:rPr>
        <w:t xml:space="preserve">risk-taking, </w:t>
      </w:r>
      <w:r w:rsidR="00380430">
        <w:rPr>
          <w:rFonts w:ascii="Calibri" w:eastAsia="MS Mincho" w:hAnsi="Calibri" w:cs="Calibri"/>
        </w:rPr>
        <w:t>homophobic and misogynistic</w:t>
      </w:r>
      <w:r w:rsidR="00D71170">
        <w:rPr>
          <w:rFonts w:ascii="Calibri" w:eastAsia="MS Mincho" w:hAnsi="Calibri" w:cs="Calibri"/>
        </w:rPr>
        <w:t xml:space="preserve"> abuse and</w:t>
      </w:r>
      <w:r w:rsidR="00751E4B">
        <w:rPr>
          <w:rFonts w:ascii="Calibri" w:eastAsia="MS Mincho" w:hAnsi="Calibri" w:cs="Calibri"/>
        </w:rPr>
        <w:t xml:space="preserve"> </w:t>
      </w:r>
      <w:r w:rsidR="00380430">
        <w:rPr>
          <w:rFonts w:ascii="Calibri" w:eastAsia="MS Mincho" w:hAnsi="Calibri" w:cs="Calibri"/>
        </w:rPr>
        <w:t xml:space="preserve">‘banter’, </w:t>
      </w:r>
      <w:r w:rsidR="00751E4B">
        <w:rPr>
          <w:rFonts w:ascii="Calibri" w:eastAsia="MS Mincho" w:hAnsi="Calibri" w:cs="Calibri"/>
        </w:rPr>
        <w:t>lack of help-seeking for physical and mental health problems</w:t>
      </w:r>
      <w:r w:rsidR="004E016F">
        <w:rPr>
          <w:rFonts w:ascii="Calibri" w:eastAsia="MS Mincho" w:hAnsi="Calibri" w:cs="Calibri"/>
        </w:rPr>
        <w:t>, and criminality and violence (</w:t>
      </w:r>
      <w:r w:rsidR="002E22AA">
        <w:rPr>
          <w:rFonts w:ascii="Calibri" w:eastAsia="MS Mincho" w:hAnsi="Calibri" w:cs="Calibri"/>
        </w:rPr>
        <w:t>de Visser &amp; Smith, 200</w:t>
      </w:r>
      <w:r w:rsidR="00331689">
        <w:rPr>
          <w:rFonts w:ascii="Calibri" w:eastAsia="MS Mincho" w:hAnsi="Calibri" w:cs="Calibri"/>
        </w:rPr>
        <w:t>7</w:t>
      </w:r>
      <w:r w:rsidR="002E22AA">
        <w:rPr>
          <w:rFonts w:ascii="Calibri" w:eastAsia="MS Mincho" w:hAnsi="Calibri" w:cs="Calibri"/>
        </w:rPr>
        <w:t>; Messerschmidt, 201</w:t>
      </w:r>
      <w:r w:rsidR="00331689">
        <w:rPr>
          <w:rFonts w:ascii="Calibri" w:eastAsia="MS Mincho" w:hAnsi="Calibri" w:cs="Calibri"/>
        </w:rPr>
        <w:t>4</w:t>
      </w:r>
      <w:r w:rsidR="004E016F">
        <w:rPr>
          <w:rFonts w:ascii="Calibri" w:eastAsia="MS Mincho" w:hAnsi="Calibri" w:cs="Calibri"/>
        </w:rPr>
        <w:t xml:space="preserve">). </w:t>
      </w:r>
    </w:p>
    <w:p w14:paraId="20F72C31" w14:textId="77777777" w:rsidR="00724275" w:rsidRDefault="00724275" w:rsidP="0079774D">
      <w:pPr>
        <w:spacing w:line="360" w:lineRule="auto"/>
        <w:rPr>
          <w:rFonts w:ascii="Calibri" w:eastAsia="MS Mincho" w:hAnsi="Calibri" w:cs="Calibri"/>
        </w:rPr>
      </w:pPr>
    </w:p>
    <w:p w14:paraId="51B44F69" w14:textId="0C673571" w:rsidR="006A3CF1" w:rsidRDefault="00D71170" w:rsidP="00252AFB">
      <w:pPr>
        <w:spacing w:line="360" w:lineRule="auto"/>
        <w:rPr>
          <w:rFonts w:ascii="Calibri" w:eastAsia="MS Mincho" w:hAnsi="Calibri" w:cs="Calibri"/>
        </w:rPr>
      </w:pPr>
      <w:r w:rsidRPr="088F2921">
        <w:rPr>
          <w:rFonts w:ascii="Calibri" w:eastAsia="MS Mincho" w:hAnsi="Calibri" w:cs="Calibri"/>
        </w:rPr>
        <w:t xml:space="preserve">Criminality is a gendered issue: </w:t>
      </w:r>
      <w:r w:rsidR="009F5914" w:rsidRPr="088F2921">
        <w:rPr>
          <w:rFonts w:ascii="Calibri" w:eastAsia="MS Mincho" w:hAnsi="Calibri" w:cs="Calibri"/>
        </w:rPr>
        <w:t xml:space="preserve">According to Ministry of Justice (2019) statistics, 84% of </w:t>
      </w:r>
      <w:r w:rsidR="73785375" w:rsidRPr="088F2921">
        <w:rPr>
          <w:rFonts w:ascii="Calibri" w:eastAsia="MS Mincho" w:hAnsi="Calibri" w:cs="Calibri"/>
        </w:rPr>
        <w:t>young</w:t>
      </w:r>
      <w:r w:rsidR="009F5914" w:rsidRPr="088F2921">
        <w:rPr>
          <w:rFonts w:ascii="Calibri" w:eastAsia="MS Mincho" w:hAnsi="Calibri" w:cs="Calibri"/>
        </w:rPr>
        <w:t xml:space="preserve"> offenders in the</w:t>
      </w:r>
      <w:r w:rsidRPr="088F2921">
        <w:rPr>
          <w:rFonts w:ascii="Calibri" w:eastAsia="MS Mincho" w:hAnsi="Calibri" w:cs="Calibri"/>
        </w:rPr>
        <w:t xml:space="preserve"> UK during the</w:t>
      </w:r>
      <w:r w:rsidR="009F5914" w:rsidRPr="088F2921">
        <w:rPr>
          <w:rFonts w:ascii="Calibri" w:eastAsia="MS Mincho" w:hAnsi="Calibri" w:cs="Calibri"/>
        </w:rPr>
        <w:t xml:space="preserve"> year 2017-18 were male.</w:t>
      </w:r>
      <w:r w:rsidR="00506EB4">
        <w:rPr>
          <w:rFonts w:ascii="Calibri" w:eastAsia="MS Mincho" w:hAnsi="Calibri" w:cs="Calibri"/>
        </w:rPr>
        <w:t xml:space="preserve"> The following year, this was 85% and so suggestive of a longer</w:t>
      </w:r>
      <w:r w:rsidR="00D06B35">
        <w:rPr>
          <w:rFonts w:ascii="Calibri" w:eastAsia="MS Mincho" w:hAnsi="Calibri" w:cs="Calibri"/>
        </w:rPr>
        <w:t>-</w:t>
      </w:r>
      <w:r w:rsidR="00506EB4">
        <w:rPr>
          <w:rFonts w:ascii="Calibri" w:eastAsia="MS Mincho" w:hAnsi="Calibri" w:cs="Calibri"/>
        </w:rPr>
        <w:t xml:space="preserve">term pattern. </w:t>
      </w:r>
      <w:r w:rsidRPr="088F2921">
        <w:rPr>
          <w:rFonts w:ascii="Calibri" w:eastAsia="MS Mincho" w:hAnsi="Calibri" w:cs="Calibri"/>
        </w:rPr>
        <w:t xml:space="preserve"> Masculinities theory can help explain </w:t>
      </w:r>
      <w:r w:rsidR="00C53D71" w:rsidRPr="088F2921">
        <w:rPr>
          <w:rFonts w:ascii="Calibri" w:eastAsia="MS Mincho" w:hAnsi="Calibri" w:cs="Calibri"/>
        </w:rPr>
        <w:t>why young men are more likely to turn to crime</w:t>
      </w:r>
      <w:r w:rsidRPr="088F2921">
        <w:rPr>
          <w:rFonts w:ascii="Calibri" w:eastAsia="MS Mincho" w:hAnsi="Calibri" w:cs="Calibri"/>
        </w:rPr>
        <w:t xml:space="preserve">, if criminality is conceptualised as </w:t>
      </w:r>
      <w:r w:rsidR="00C53D71" w:rsidRPr="088F2921">
        <w:rPr>
          <w:rFonts w:ascii="Calibri" w:eastAsia="MS Mincho" w:hAnsi="Calibri" w:cs="Calibri"/>
        </w:rPr>
        <w:t>a</w:t>
      </w:r>
      <w:r w:rsidRPr="088F2921">
        <w:rPr>
          <w:rFonts w:ascii="Calibri" w:eastAsia="MS Mincho" w:hAnsi="Calibri" w:cs="Calibri"/>
        </w:rPr>
        <w:t xml:space="preserve"> </w:t>
      </w:r>
      <w:r w:rsidR="00C53D71" w:rsidRPr="088F2921">
        <w:rPr>
          <w:rFonts w:ascii="Calibri" w:eastAsia="MS Mincho" w:hAnsi="Calibri" w:cs="Calibri"/>
        </w:rPr>
        <w:t xml:space="preserve">potential </w:t>
      </w:r>
      <w:r w:rsidRPr="088F2921">
        <w:rPr>
          <w:rFonts w:ascii="Calibri" w:eastAsia="MS Mincho" w:hAnsi="Calibri" w:cs="Calibri"/>
        </w:rPr>
        <w:t>contribut</w:t>
      </w:r>
      <w:r w:rsidR="00C53D71" w:rsidRPr="088F2921">
        <w:rPr>
          <w:rFonts w:ascii="Calibri" w:eastAsia="MS Mincho" w:hAnsi="Calibri" w:cs="Calibri"/>
        </w:rPr>
        <w:t>or</w:t>
      </w:r>
      <w:r w:rsidRPr="088F2921">
        <w:rPr>
          <w:rFonts w:ascii="Calibri" w:eastAsia="MS Mincho" w:hAnsi="Calibri" w:cs="Calibri"/>
        </w:rPr>
        <w:t xml:space="preserve"> to the construction of masculine identit</w:t>
      </w:r>
      <w:r w:rsidR="00C53D71" w:rsidRPr="088F2921">
        <w:rPr>
          <w:rFonts w:ascii="Calibri" w:eastAsia="MS Mincho" w:hAnsi="Calibri" w:cs="Calibri"/>
        </w:rPr>
        <w:t>ies.</w:t>
      </w:r>
      <w:r w:rsidRPr="088F2921">
        <w:rPr>
          <w:rFonts w:ascii="Calibri" w:eastAsia="MS Mincho" w:hAnsi="Calibri" w:cs="Calibri"/>
        </w:rPr>
        <w:t xml:space="preserve"> </w:t>
      </w:r>
      <w:r w:rsidR="00C53D71" w:rsidRPr="088F2921">
        <w:rPr>
          <w:rFonts w:ascii="Calibri" w:eastAsia="MS Mincho" w:hAnsi="Calibri" w:cs="Calibri"/>
        </w:rPr>
        <w:t>Boys and y</w:t>
      </w:r>
      <w:r w:rsidR="00684FEE" w:rsidRPr="088F2921">
        <w:rPr>
          <w:rFonts w:ascii="Calibri" w:eastAsia="MS Mincho" w:hAnsi="Calibri" w:cs="Calibri"/>
        </w:rPr>
        <w:t xml:space="preserve">oung men </w:t>
      </w:r>
      <w:r w:rsidR="00C53D71" w:rsidRPr="088F2921">
        <w:rPr>
          <w:rFonts w:ascii="Calibri" w:eastAsia="MS Mincho" w:hAnsi="Calibri" w:cs="Calibri"/>
        </w:rPr>
        <w:t>generally have restricted</w:t>
      </w:r>
      <w:r w:rsidR="00684FEE" w:rsidRPr="088F2921">
        <w:rPr>
          <w:rFonts w:ascii="Calibri" w:eastAsia="MS Mincho" w:hAnsi="Calibri" w:cs="Calibri"/>
        </w:rPr>
        <w:t xml:space="preserve"> access to sources of hegemonic masculinity</w:t>
      </w:r>
      <w:r w:rsidR="009F5914" w:rsidRPr="088F2921">
        <w:rPr>
          <w:rFonts w:ascii="Calibri" w:eastAsia="MS Mincho" w:hAnsi="Calibri" w:cs="Calibri"/>
        </w:rPr>
        <w:t xml:space="preserve"> </w:t>
      </w:r>
      <w:r w:rsidR="00684FEE" w:rsidRPr="088F2921">
        <w:rPr>
          <w:rFonts w:ascii="Calibri" w:eastAsia="MS Mincho" w:hAnsi="Calibri" w:cs="Calibri"/>
        </w:rPr>
        <w:t xml:space="preserve">– for example, the power, responsibility, and </w:t>
      </w:r>
      <w:r w:rsidRPr="088F2921">
        <w:rPr>
          <w:rFonts w:ascii="Calibri" w:eastAsia="MS Mincho" w:hAnsi="Calibri" w:cs="Calibri"/>
        </w:rPr>
        <w:t xml:space="preserve">financial position </w:t>
      </w:r>
      <w:r w:rsidR="00684FEE" w:rsidRPr="088F2921">
        <w:rPr>
          <w:rFonts w:ascii="Calibri" w:eastAsia="MS Mincho" w:hAnsi="Calibri" w:cs="Calibri"/>
        </w:rPr>
        <w:t>afforded by employment opportunitie</w:t>
      </w:r>
      <w:r w:rsidR="00C53D71" w:rsidRPr="088F2921">
        <w:rPr>
          <w:rFonts w:ascii="Calibri" w:eastAsia="MS Mincho" w:hAnsi="Calibri" w:cs="Calibri"/>
        </w:rPr>
        <w:t xml:space="preserve">s and the social power from being able to vote, buy alcohol etc. </w:t>
      </w:r>
      <w:r w:rsidR="00684FEE" w:rsidRPr="088F2921">
        <w:rPr>
          <w:rFonts w:ascii="Calibri" w:eastAsia="MS Mincho" w:hAnsi="Calibri" w:cs="Calibri"/>
        </w:rPr>
        <w:t xml:space="preserve">– and </w:t>
      </w:r>
      <w:r w:rsidR="00C53D71" w:rsidRPr="088F2921">
        <w:rPr>
          <w:rFonts w:ascii="Calibri" w:eastAsia="MS Mincho" w:hAnsi="Calibri" w:cs="Calibri"/>
        </w:rPr>
        <w:t>it is this</w:t>
      </w:r>
      <w:r w:rsidR="00684FEE" w:rsidRPr="088F2921">
        <w:rPr>
          <w:rFonts w:ascii="Calibri" w:eastAsia="MS Mincho" w:hAnsi="Calibri" w:cs="Calibri"/>
        </w:rPr>
        <w:t xml:space="preserve"> deficit between biological </w:t>
      </w:r>
      <w:r w:rsidR="00C53D71" w:rsidRPr="088F2921">
        <w:rPr>
          <w:rFonts w:ascii="Calibri" w:eastAsia="MS Mincho" w:hAnsi="Calibri" w:cs="Calibri"/>
        </w:rPr>
        <w:t xml:space="preserve">maturity and </w:t>
      </w:r>
      <w:r w:rsidR="00684FEE" w:rsidRPr="088F2921">
        <w:rPr>
          <w:rFonts w:ascii="Calibri" w:eastAsia="MS Mincho" w:hAnsi="Calibri" w:cs="Calibri"/>
        </w:rPr>
        <w:t xml:space="preserve">social maturity </w:t>
      </w:r>
      <w:r w:rsidR="00C53D71" w:rsidRPr="088F2921">
        <w:rPr>
          <w:rFonts w:ascii="Calibri" w:eastAsia="MS Mincho" w:hAnsi="Calibri" w:cs="Calibri"/>
        </w:rPr>
        <w:t>that explains why they may turn to crime</w:t>
      </w:r>
      <w:r w:rsidR="00684FEE" w:rsidRPr="088F2921">
        <w:rPr>
          <w:rFonts w:ascii="Calibri" w:eastAsia="MS Mincho" w:hAnsi="Calibri" w:cs="Calibri"/>
        </w:rPr>
        <w:t xml:space="preserve"> (Moffitt, </w:t>
      </w:r>
      <w:r w:rsidR="002E22AA" w:rsidRPr="088F2921">
        <w:rPr>
          <w:rFonts w:ascii="Calibri" w:eastAsia="MS Mincho" w:hAnsi="Calibri" w:cs="Calibri"/>
        </w:rPr>
        <w:t>1993</w:t>
      </w:r>
      <w:r w:rsidR="009F5914" w:rsidRPr="088F2921">
        <w:rPr>
          <w:rFonts w:ascii="Calibri" w:eastAsia="MS Mincho" w:hAnsi="Calibri" w:cs="Calibri"/>
        </w:rPr>
        <w:t>)</w:t>
      </w:r>
      <w:r w:rsidR="00C53D71" w:rsidRPr="088F2921">
        <w:rPr>
          <w:rFonts w:ascii="Calibri" w:eastAsia="MS Mincho" w:hAnsi="Calibri" w:cs="Calibri"/>
        </w:rPr>
        <w:t>. Criminality may</w:t>
      </w:r>
      <w:r w:rsidR="00FC0B03" w:rsidRPr="088F2921">
        <w:rPr>
          <w:rFonts w:ascii="Calibri" w:eastAsia="MS Mincho" w:hAnsi="Calibri" w:cs="Calibri"/>
        </w:rPr>
        <w:t xml:space="preserve"> ‘compensate’ for </w:t>
      </w:r>
      <w:r w:rsidR="00C53D71" w:rsidRPr="088F2921">
        <w:rPr>
          <w:rFonts w:ascii="Calibri" w:eastAsia="MS Mincho" w:hAnsi="Calibri" w:cs="Calibri"/>
        </w:rPr>
        <w:t>sociocultural restrictions</w:t>
      </w:r>
      <w:r w:rsidR="00FC0B03" w:rsidRPr="088F2921">
        <w:rPr>
          <w:rFonts w:ascii="Calibri" w:eastAsia="MS Mincho" w:hAnsi="Calibri" w:cs="Calibri"/>
        </w:rPr>
        <w:t xml:space="preserve"> that obstruct access to particular ‘adult’ sources of masculinity</w:t>
      </w:r>
      <w:r w:rsidR="00C53D71" w:rsidRPr="088F2921">
        <w:rPr>
          <w:rFonts w:ascii="Calibri" w:eastAsia="MS Mincho" w:hAnsi="Calibri" w:cs="Calibri"/>
        </w:rPr>
        <w:t>.</w:t>
      </w:r>
      <w:r w:rsidR="009F5914" w:rsidRPr="088F2921">
        <w:rPr>
          <w:rFonts w:ascii="Calibri" w:eastAsia="MS Mincho" w:hAnsi="Calibri" w:cs="Calibri"/>
        </w:rPr>
        <w:t xml:space="preserve"> Messerschidt’s (</w:t>
      </w:r>
      <w:r w:rsidR="002E22AA" w:rsidRPr="088F2921">
        <w:rPr>
          <w:rFonts w:ascii="Calibri" w:eastAsia="MS Mincho" w:hAnsi="Calibri" w:cs="Calibri"/>
        </w:rPr>
        <w:t>201</w:t>
      </w:r>
      <w:r w:rsidR="00331689" w:rsidRPr="088F2921">
        <w:rPr>
          <w:rFonts w:ascii="Calibri" w:eastAsia="MS Mincho" w:hAnsi="Calibri" w:cs="Calibri"/>
        </w:rPr>
        <w:t>4</w:t>
      </w:r>
      <w:r w:rsidR="009F5914" w:rsidRPr="088F2921">
        <w:rPr>
          <w:rFonts w:ascii="Calibri" w:eastAsia="MS Mincho" w:hAnsi="Calibri" w:cs="Calibri"/>
        </w:rPr>
        <w:t>)</w:t>
      </w:r>
      <w:r w:rsidR="00684FEE" w:rsidRPr="088F2921">
        <w:rPr>
          <w:rFonts w:ascii="Calibri" w:eastAsia="MS Mincho" w:hAnsi="Calibri" w:cs="Calibri"/>
        </w:rPr>
        <w:t xml:space="preserve"> </w:t>
      </w:r>
      <w:r w:rsidR="004E016F" w:rsidRPr="00252AFB">
        <w:rPr>
          <w:rFonts w:ascii="Calibri" w:eastAsia="MS Mincho" w:hAnsi="Calibri" w:cs="Calibri"/>
          <w:i/>
          <w:iCs/>
        </w:rPr>
        <w:t>Structured Action Theory</w:t>
      </w:r>
      <w:r w:rsidR="00D71510" w:rsidRPr="088F2921">
        <w:rPr>
          <w:rFonts w:ascii="Calibri" w:eastAsia="MS Mincho" w:hAnsi="Calibri" w:cs="Calibri"/>
        </w:rPr>
        <w:t xml:space="preserve"> conceptualises </w:t>
      </w:r>
      <w:r w:rsidR="009F5914" w:rsidRPr="088F2921">
        <w:rPr>
          <w:rFonts w:ascii="Calibri" w:eastAsia="MS Mincho" w:hAnsi="Calibri" w:cs="Calibri"/>
        </w:rPr>
        <w:t xml:space="preserve">criminality as underpinned by </w:t>
      </w:r>
      <w:r w:rsidR="00D71510" w:rsidRPr="088F2921">
        <w:rPr>
          <w:rFonts w:ascii="Calibri" w:eastAsia="MS Mincho" w:hAnsi="Calibri" w:cs="Calibri"/>
        </w:rPr>
        <w:t>intersections of social constructions or gender, race, and class</w:t>
      </w:r>
      <w:r w:rsidR="009F5914" w:rsidRPr="088F2921">
        <w:rPr>
          <w:rFonts w:ascii="Calibri" w:eastAsia="MS Mincho" w:hAnsi="Calibri" w:cs="Calibri"/>
        </w:rPr>
        <w:t xml:space="preserve">. According to this theory, young men from more economically deprived backgrounds – lacking in </w:t>
      </w:r>
      <w:r w:rsidR="00301C85" w:rsidRPr="088F2921">
        <w:rPr>
          <w:rFonts w:ascii="Calibri" w:eastAsia="MS Mincho" w:hAnsi="Calibri" w:cs="Calibri"/>
        </w:rPr>
        <w:t>economic</w:t>
      </w:r>
      <w:r w:rsidR="009F5914" w:rsidRPr="088F2921">
        <w:rPr>
          <w:rFonts w:ascii="Calibri" w:eastAsia="MS Mincho" w:hAnsi="Calibri" w:cs="Calibri"/>
        </w:rPr>
        <w:t xml:space="preserve"> and social power, and emasculated by the emphasis on mental rather than manual labour at school – are </w:t>
      </w:r>
      <w:r w:rsidR="009F5914" w:rsidRPr="088F2921">
        <w:rPr>
          <w:rFonts w:ascii="Calibri" w:eastAsia="MS Mincho" w:hAnsi="Calibri" w:cs="Calibri"/>
        </w:rPr>
        <w:lastRenderedPageBreak/>
        <w:t xml:space="preserve">particularly vulnerable to pursuing masculinity in criminality, including violent street crime and criminal gang affiliation. </w:t>
      </w:r>
      <w:r w:rsidR="00015F4C" w:rsidRPr="088F2921">
        <w:rPr>
          <w:rFonts w:ascii="Calibri" w:eastAsia="MS Mincho" w:hAnsi="Calibri" w:cs="Calibri"/>
        </w:rPr>
        <w:t xml:space="preserve">Criminality may afford the masculinity that is otherwise unavailable: status, financial / material gain, and </w:t>
      </w:r>
      <w:r w:rsidR="00C53D71" w:rsidRPr="088F2921">
        <w:rPr>
          <w:rFonts w:ascii="Calibri" w:eastAsia="MS Mincho" w:hAnsi="Calibri" w:cs="Calibri"/>
        </w:rPr>
        <w:t>(</w:t>
      </w:r>
      <w:r w:rsidR="00015F4C" w:rsidRPr="088F2921">
        <w:rPr>
          <w:rFonts w:ascii="Calibri" w:eastAsia="MS Mincho" w:hAnsi="Calibri" w:cs="Calibri"/>
        </w:rPr>
        <w:t>criminal</w:t>
      </w:r>
      <w:r w:rsidR="00C53D71" w:rsidRPr="088F2921">
        <w:rPr>
          <w:rFonts w:ascii="Calibri" w:eastAsia="MS Mincho" w:hAnsi="Calibri" w:cs="Calibri"/>
        </w:rPr>
        <w:t>)</w:t>
      </w:r>
      <w:r w:rsidR="00015F4C" w:rsidRPr="088F2921">
        <w:rPr>
          <w:rFonts w:ascii="Calibri" w:eastAsia="MS Mincho" w:hAnsi="Calibri" w:cs="Calibri"/>
        </w:rPr>
        <w:t xml:space="preserve"> ‘expertise’. </w:t>
      </w:r>
      <w:r w:rsidR="0064759C" w:rsidRPr="088F2921">
        <w:rPr>
          <w:rFonts w:ascii="Calibri" w:eastAsia="MS Mincho" w:hAnsi="Calibri" w:cs="Calibri"/>
        </w:rPr>
        <w:t>Structured Action Theory</w:t>
      </w:r>
      <w:r w:rsidR="00AC4C9A" w:rsidRPr="088F2921">
        <w:rPr>
          <w:rFonts w:ascii="Calibri" w:eastAsia="MS Mincho" w:hAnsi="Calibri" w:cs="Calibri"/>
        </w:rPr>
        <w:t xml:space="preserve"> </w:t>
      </w:r>
      <w:r w:rsidR="0064759C" w:rsidRPr="088F2921">
        <w:rPr>
          <w:rFonts w:ascii="Calibri" w:eastAsia="MS Mincho" w:hAnsi="Calibri" w:cs="Calibri"/>
        </w:rPr>
        <w:t xml:space="preserve">can also be used to </w:t>
      </w:r>
      <w:r w:rsidR="00AC4C9A" w:rsidRPr="088F2921">
        <w:rPr>
          <w:rFonts w:ascii="Calibri" w:eastAsia="MS Mincho" w:hAnsi="Calibri" w:cs="Calibri"/>
        </w:rPr>
        <w:t>explain higher rates of knife crime among young black men</w:t>
      </w:r>
      <w:r w:rsidR="00E445C9" w:rsidRPr="088F2921">
        <w:rPr>
          <w:rFonts w:ascii="Calibri" w:eastAsia="MS Mincho" w:hAnsi="Calibri" w:cs="Calibri"/>
        </w:rPr>
        <w:t xml:space="preserve"> in the UK, an under-researched and under</w:t>
      </w:r>
      <w:r w:rsidR="00532E0D" w:rsidRPr="088F2921">
        <w:rPr>
          <w:rFonts w:ascii="Calibri" w:eastAsia="MS Mincho" w:hAnsi="Calibri" w:cs="Calibri"/>
        </w:rPr>
        <w:t>-</w:t>
      </w:r>
      <w:r w:rsidR="00E445C9" w:rsidRPr="088F2921">
        <w:rPr>
          <w:rFonts w:ascii="Calibri" w:eastAsia="MS Mincho" w:hAnsi="Calibri" w:cs="Calibri"/>
        </w:rPr>
        <w:t xml:space="preserve">theorised issue. </w:t>
      </w:r>
      <w:r w:rsidR="00532E0D" w:rsidRPr="088F2921">
        <w:rPr>
          <w:rFonts w:ascii="Calibri" w:eastAsia="MS Mincho" w:hAnsi="Calibri" w:cs="Calibri"/>
        </w:rPr>
        <w:t xml:space="preserve">An intersectional approach </w:t>
      </w:r>
      <w:r w:rsidR="00FC0B03" w:rsidRPr="088F2921">
        <w:rPr>
          <w:rFonts w:ascii="Calibri" w:eastAsia="MS Mincho" w:hAnsi="Calibri" w:cs="Calibri"/>
        </w:rPr>
        <w:t xml:space="preserve">is paramount for examining </w:t>
      </w:r>
      <w:r w:rsidR="00532E0D" w:rsidRPr="088F2921">
        <w:rPr>
          <w:rFonts w:ascii="Calibri" w:eastAsia="MS Mincho" w:hAnsi="Calibri" w:cs="Calibri"/>
        </w:rPr>
        <w:t>the influence of masculine beliefs</w:t>
      </w:r>
      <w:r w:rsidR="00FC0B03" w:rsidRPr="088F2921">
        <w:rPr>
          <w:rFonts w:ascii="Calibri" w:eastAsia="MS Mincho" w:hAnsi="Calibri" w:cs="Calibri"/>
        </w:rPr>
        <w:t xml:space="preserve">, masculine identities, and other aspects of </w:t>
      </w:r>
      <w:r w:rsidR="00532E0D" w:rsidRPr="088F2921">
        <w:rPr>
          <w:rFonts w:ascii="Calibri" w:eastAsia="MS Mincho" w:hAnsi="Calibri" w:cs="Calibri"/>
        </w:rPr>
        <w:t>identit</w:t>
      </w:r>
      <w:r w:rsidR="00FC0B03" w:rsidRPr="088F2921">
        <w:rPr>
          <w:rFonts w:ascii="Calibri" w:eastAsia="MS Mincho" w:hAnsi="Calibri" w:cs="Calibri"/>
        </w:rPr>
        <w:t>y</w:t>
      </w:r>
      <w:r w:rsidR="00532E0D" w:rsidRPr="088F2921">
        <w:rPr>
          <w:rFonts w:ascii="Calibri" w:eastAsia="MS Mincho" w:hAnsi="Calibri" w:cs="Calibri"/>
        </w:rPr>
        <w:t xml:space="preserve"> </w:t>
      </w:r>
      <w:r w:rsidR="00FC0B03" w:rsidRPr="088F2921">
        <w:rPr>
          <w:rFonts w:ascii="Calibri" w:eastAsia="MS Mincho" w:hAnsi="Calibri" w:cs="Calibri"/>
        </w:rPr>
        <w:t>on</w:t>
      </w:r>
      <w:r w:rsidR="00532E0D" w:rsidRPr="088F2921">
        <w:rPr>
          <w:rFonts w:ascii="Calibri" w:eastAsia="MS Mincho" w:hAnsi="Calibri" w:cs="Calibri"/>
        </w:rPr>
        <w:t xml:space="preserve"> the behaviour of young me</w:t>
      </w:r>
      <w:r w:rsidR="6FA2C278" w:rsidRPr="088F2921">
        <w:rPr>
          <w:rFonts w:ascii="Calibri" w:eastAsia="MS Mincho" w:hAnsi="Calibri" w:cs="Calibri"/>
        </w:rPr>
        <w:t xml:space="preserve">n. This is supported by Thompson </w:t>
      </w:r>
      <w:r w:rsidR="0080697E">
        <w:rPr>
          <w:rFonts w:ascii="Calibri" w:eastAsia="MS Mincho" w:hAnsi="Calibri" w:cs="Calibri"/>
        </w:rPr>
        <w:t xml:space="preserve">(2019) </w:t>
      </w:r>
      <w:r w:rsidR="6FA2C278" w:rsidRPr="088F2921">
        <w:rPr>
          <w:rFonts w:ascii="Calibri" w:eastAsia="MS Mincho" w:hAnsi="Calibri" w:cs="Calibri"/>
        </w:rPr>
        <w:t>in her analysis of data about gangs and organised crime and the vulnerability of young m</w:t>
      </w:r>
      <w:r w:rsidR="2CFA3E3F" w:rsidRPr="088F2921">
        <w:rPr>
          <w:rFonts w:ascii="Calibri" w:eastAsia="MS Mincho" w:hAnsi="Calibri" w:cs="Calibri"/>
        </w:rPr>
        <w:t>en where she states that</w:t>
      </w:r>
      <w:r w:rsidR="00D06B35">
        <w:rPr>
          <w:rFonts w:ascii="Calibri" w:eastAsia="MS Mincho" w:hAnsi="Calibri" w:cs="Calibri"/>
        </w:rPr>
        <w:t>:</w:t>
      </w:r>
      <w:r w:rsidR="2CFA3E3F" w:rsidRPr="088F2921">
        <w:rPr>
          <w:rFonts w:ascii="Calibri" w:eastAsia="MS Mincho" w:hAnsi="Calibri" w:cs="Calibri"/>
        </w:rPr>
        <w:t xml:space="preserve"> </w:t>
      </w:r>
    </w:p>
    <w:p w14:paraId="0DA894C5" w14:textId="77777777" w:rsidR="00323851" w:rsidRPr="00D71510" w:rsidRDefault="00323851" w:rsidP="00252AFB">
      <w:pPr>
        <w:spacing w:line="360" w:lineRule="auto"/>
      </w:pPr>
    </w:p>
    <w:p w14:paraId="011B652E" w14:textId="1F19A159" w:rsidR="006A3CF1" w:rsidRPr="00323851" w:rsidRDefault="326AB263" w:rsidP="00301C85">
      <w:pPr>
        <w:ind w:left="720"/>
        <w:rPr>
          <w:rFonts w:asciiTheme="majorHAnsi" w:eastAsia="TimesNewRomanPSMT" w:hAnsiTheme="majorHAnsi" w:cstheme="majorHAnsi"/>
        </w:rPr>
      </w:pPr>
      <w:r w:rsidRPr="00323851">
        <w:rPr>
          <w:rFonts w:asciiTheme="majorHAnsi" w:eastAsia="MS Mincho" w:hAnsiTheme="majorHAnsi" w:cstheme="majorHAnsi"/>
        </w:rPr>
        <w:t xml:space="preserve">… </w:t>
      </w:r>
      <w:r w:rsidRPr="00323851">
        <w:rPr>
          <w:rFonts w:asciiTheme="majorHAnsi" w:eastAsia="TimesNewRomanPSMT" w:hAnsiTheme="majorHAnsi" w:cstheme="majorHAnsi"/>
        </w:rPr>
        <w:t xml:space="preserve">young people’s involvement in organised crime is complex and not as simple as making a conscious choice to become involved. ... young people are vulnerable to exploitation by organised criminal groups (OCGs) and that factors such as their sense of responsibility towards their families and lack of alternative employment may add to the risk factors that make them vulnerable (2019, p </w:t>
      </w:r>
      <w:r w:rsidR="28D7ED5A" w:rsidRPr="00323851">
        <w:rPr>
          <w:rFonts w:asciiTheme="majorHAnsi" w:eastAsia="TimesNewRomanPSMT" w:hAnsiTheme="majorHAnsi" w:cstheme="majorHAnsi"/>
        </w:rPr>
        <w:t>103).</w:t>
      </w:r>
    </w:p>
    <w:p w14:paraId="69EDB889" w14:textId="77777777" w:rsidR="00D06B35" w:rsidRDefault="00D06B35" w:rsidP="00C53D71">
      <w:pPr>
        <w:spacing w:line="360" w:lineRule="auto"/>
      </w:pPr>
    </w:p>
    <w:p w14:paraId="7E402D98" w14:textId="15550681" w:rsidR="00C53D71" w:rsidRDefault="00C53D71" w:rsidP="00C53D71">
      <w:pPr>
        <w:spacing w:line="360" w:lineRule="auto"/>
        <w:rPr>
          <w:rFonts w:ascii="Calibri" w:eastAsia="MS Mincho" w:hAnsi="Calibri" w:cs="Calibri"/>
        </w:rPr>
      </w:pPr>
      <w:r>
        <w:rPr>
          <w:rFonts w:ascii="Calibri" w:eastAsia="MS Mincho" w:hAnsi="Calibri" w:cs="Calibri"/>
        </w:rPr>
        <w:t>One of key contributions of hegemonic masculinity theory is that it inevitably conceptualises masculinity in pluralistic terms. This has contributed to the academic study of a multitude of masculine identities, including the ‘lad’</w:t>
      </w:r>
      <w:r w:rsidR="00FC0B03">
        <w:rPr>
          <w:rFonts w:ascii="Calibri" w:eastAsia="MS Mincho" w:hAnsi="Calibri" w:cs="Calibri"/>
        </w:rPr>
        <w:t>, who enacts traditional, hegemonic masculinity;</w:t>
      </w:r>
      <w:r>
        <w:rPr>
          <w:rFonts w:ascii="Calibri" w:eastAsia="MS Mincho" w:hAnsi="Calibri" w:cs="Calibri"/>
        </w:rPr>
        <w:t xml:space="preserve"> the ‘metrosexual’, who embodies an affluent, feminised, and narcissistic masculinity</w:t>
      </w:r>
      <w:r w:rsidR="00FC0B03">
        <w:rPr>
          <w:rFonts w:ascii="Calibri" w:eastAsia="MS Mincho" w:hAnsi="Calibri" w:cs="Calibri"/>
        </w:rPr>
        <w:t>;</w:t>
      </w:r>
      <w:r>
        <w:rPr>
          <w:rFonts w:ascii="Calibri" w:eastAsia="MS Mincho" w:hAnsi="Calibri" w:cs="Calibri"/>
        </w:rPr>
        <w:t xml:space="preserve"> and the ‘new man’, who ostensibly rejects traditional markers of masculinity, and incorporates some stereotypically feminine attributes into their gender repertoire</w:t>
      </w:r>
      <w:r w:rsidR="002E22AA">
        <w:rPr>
          <w:rFonts w:ascii="Calibri" w:eastAsia="MS Mincho" w:hAnsi="Calibri" w:cs="Calibri"/>
        </w:rPr>
        <w:t xml:space="preserve"> (e.g., Bridges, 2014). </w:t>
      </w:r>
      <w:r>
        <w:rPr>
          <w:rFonts w:ascii="Calibri" w:eastAsia="MS Mincho" w:hAnsi="Calibri" w:cs="Calibri"/>
        </w:rPr>
        <w:t>Anderson (</w:t>
      </w:r>
      <w:r w:rsidR="002E22AA">
        <w:rPr>
          <w:rFonts w:ascii="Calibri" w:eastAsia="MS Mincho" w:hAnsi="Calibri" w:cs="Calibri"/>
        </w:rPr>
        <w:t>2009</w:t>
      </w:r>
      <w:r>
        <w:rPr>
          <w:rFonts w:ascii="Calibri" w:eastAsia="MS Mincho" w:hAnsi="Calibri" w:cs="Calibri"/>
        </w:rPr>
        <w:t xml:space="preserve">) identifies the decreasing influence on men’s behaviour of cultural homophobia (‘homohysteria’) as an explanation for the increasing prevalence of </w:t>
      </w:r>
      <w:r w:rsidR="00FC0B03">
        <w:rPr>
          <w:rFonts w:ascii="Calibri" w:eastAsia="MS Mincho" w:hAnsi="Calibri" w:cs="Calibri"/>
        </w:rPr>
        <w:t xml:space="preserve">‘softer’, </w:t>
      </w:r>
      <w:r>
        <w:rPr>
          <w:rFonts w:ascii="Calibri" w:eastAsia="MS Mincho" w:hAnsi="Calibri" w:cs="Calibri"/>
        </w:rPr>
        <w:t>more ‘inclusive’ masculinities. For example, McCormack (</w:t>
      </w:r>
      <w:r w:rsidR="003E76C0">
        <w:rPr>
          <w:rFonts w:ascii="Calibri" w:eastAsia="MS Mincho" w:hAnsi="Calibri" w:cs="Calibri"/>
        </w:rPr>
        <w:t>2011, p. 90</w:t>
      </w:r>
      <w:r>
        <w:rPr>
          <w:rFonts w:ascii="Calibri" w:eastAsia="MS Mincho" w:hAnsi="Calibri" w:cs="Calibri"/>
        </w:rPr>
        <w:t xml:space="preserve">) found </w:t>
      </w:r>
      <w:r w:rsidR="003E76C0">
        <w:rPr>
          <w:rFonts w:ascii="Calibri" w:eastAsia="MS Mincho" w:hAnsi="Calibri" w:cs="Calibri"/>
        </w:rPr>
        <w:t xml:space="preserve">‘the complete </w:t>
      </w:r>
      <w:r>
        <w:rPr>
          <w:rFonts w:ascii="Calibri" w:eastAsia="MS Mincho" w:hAnsi="Calibri" w:cs="Calibri"/>
        </w:rPr>
        <w:t>absence of homophobia</w:t>
      </w:r>
      <w:r w:rsidR="003E76C0">
        <w:rPr>
          <w:rFonts w:ascii="Calibri" w:eastAsia="MS Mincho" w:hAnsi="Calibri" w:cs="Calibri"/>
        </w:rPr>
        <w:t>’ among young men at a British sixth form college, the formation of close homosocial relationships</w:t>
      </w:r>
      <w:r>
        <w:rPr>
          <w:rFonts w:ascii="Calibri" w:eastAsia="MS Mincho" w:hAnsi="Calibri" w:cs="Calibri"/>
        </w:rPr>
        <w:t>, and a lack of engagement in</w:t>
      </w:r>
      <w:r w:rsidR="003E76C0">
        <w:rPr>
          <w:rFonts w:ascii="Calibri" w:eastAsia="MS Mincho" w:hAnsi="Calibri" w:cs="Calibri"/>
        </w:rPr>
        <w:t xml:space="preserve"> </w:t>
      </w:r>
      <w:r>
        <w:rPr>
          <w:rFonts w:ascii="Calibri" w:eastAsia="MS Mincho" w:hAnsi="Calibri" w:cs="Calibri"/>
        </w:rPr>
        <w:t>hegemonic masculinit</w:t>
      </w:r>
      <w:r w:rsidR="00FC0B03">
        <w:rPr>
          <w:rFonts w:ascii="Calibri" w:eastAsia="MS Mincho" w:hAnsi="Calibri" w:cs="Calibri"/>
        </w:rPr>
        <w:t>y</w:t>
      </w:r>
      <w:r>
        <w:rPr>
          <w:rFonts w:ascii="Calibri" w:eastAsia="MS Mincho" w:hAnsi="Calibri" w:cs="Calibri"/>
        </w:rPr>
        <w:t xml:space="preserve">. Inclusive masculinity theory offers a more optimistic account of the state of young men’s masculinities, given that when not pursuing a hegemonic masculine identity, young men’s desire to seek power and status, including via criminal or other destructive means, is eliminated.  </w:t>
      </w:r>
    </w:p>
    <w:p w14:paraId="394D1B38" w14:textId="77777777" w:rsidR="00C53D71" w:rsidRPr="00055D66" w:rsidRDefault="00C53D71" w:rsidP="0079774D">
      <w:pPr>
        <w:spacing w:line="360" w:lineRule="auto"/>
        <w:rPr>
          <w:rFonts w:ascii="Calibri" w:eastAsia="MS Mincho" w:hAnsi="Calibri" w:cs="Calibri"/>
        </w:rPr>
      </w:pPr>
    </w:p>
    <w:p w14:paraId="7C074492" w14:textId="3E6792A4" w:rsidR="00C53D71" w:rsidRDefault="00C53D71" w:rsidP="00C53D71">
      <w:pPr>
        <w:spacing w:line="360" w:lineRule="auto"/>
        <w:rPr>
          <w:rFonts w:ascii="Calibri" w:eastAsia="MS Mincho" w:hAnsi="Calibri" w:cs="Calibri"/>
        </w:rPr>
      </w:pPr>
      <w:r>
        <w:rPr>
          <w:rFonts w:ascii="Calibri" w:eastAsia="MS Mincho" w:hAnsi="Calibri" w:cs="Calibri"/>
        </w:rPr>
        <w:t xml:space="preserve">Some researchers are less optimistic about the apparent shift </w:t>
      </w:r>
      <w:r w:rsidR="00AD55BC">
        <w:rPr>
          <w:rFonts w:ascii="Calibri" w:eastAsia="MS Mincho" w:hAnsi="Calibri" w:cs="Calibri"/>
        </w:rPr>
        <w:t>to more inclusive masculine identities embodied by young men</w:t>
      </w:r>
      <w:r>
        <w:rPr>
          <w:rFonts w:ascii="Calibri" w:eastAsia="MS Mincho" w:hAnsi="Calibri" w:cs="Calibri"/>
        </w:rPr>
        <w:t xml:space="preserve">. For example, </w:t>
      </w:r>
      <w:r w:rsidRPr="00055D66">
        <w:rPr>
          <w:rFonts w:ascii="Calibri" w:eastAsia="MS Mincho" w:hAnsi="Calibri" w:cs="Calibri"/>
        </w:rPr>
        <w:t xml:space="preserve">Hegarty </w:t>
      </w:r>
      <w:r w:rsidR="0080697E" w:rsidRPr="0080697E">
        <w:rPr>
          <w:rFonts w:ascii="Calibri" w:eastAsia="MS Mincho" w:hAnsi="Calibri" w:cs="Calibri"/>
          <w:i/>
          <w:iCs/>
        </w:rPr>
        <w:t>et al</w:t>
      </w:r>
      <w:r w:rsidR="0080697E">
        <w:rPr>
          <w:rFonts w:ascii="Calibri" w:eastAsia="MS Mincho" w:hAnsi="Calibri" w:cs="Calibri"/>
        </w:rPr>
        <w:t xml:space="preserve">., </w:t>
      </w:r>
      <w:r w:rsidRPr="00055D66">
        <w:rPr>
          <w:rFonts w:ascii="Calibri" w:eastAsia="MS Mincho" w:hAnsi="Calibri" w:cs="Calibri"/>
        </w:rPr>
        <w:t xml:space="preserve"> (2018) cite the example of </w:t>
      </w:r>
      <w:r w:rsidR="00AD55BC">
        <w:rPr>
          <w:rFonts w:ascii="Calibri" w:eastAsia="MS Mincho" w:hAnsi="Calibri" w:cs="Calibri"/>
        </w:rPr>
        <w:t>the contemporary</w:t>
      </w:r>
      <w:r w:rsidRPr="00055D66">
        <w:rPr>
          <w:rFonts w:ascii="Calibri" w:eastAsia="MS Mincho" w:hAnsi="Calibri" w:cs="Calibri"/>
        </w:rPr>
        <w:t xml:space="preserve"> </w:t>
      </w:r>
      <w:r w:rsidR="003C6634">
        <w:rPr>
          <w:rFonts w:ascii="Calibri" w:eastAsia="MS Mincho" w:hAnsi="Calibri" w:cs="Calibri"/>
        </w:rPr>
        <w:t>‘</w:t>
      </w:r>
      <w:r w:rsidRPr="00055D66">
        <w:rPr>
          <w:rFonts w:ascii="Calibri" w:eastAsia="MS Mincho" w:hAnsi="Calibri" w:cs="Calibri"/>
        </w:rPr>
        <w:t>hipster</w:t>
      </w:r>
      <w:r w:rsidR="003C6634">
        <w:rPr>
          <w:rFonts w:ascii="Calibri" w:eastAsia="MS Mincho" w:hAnsi="Calibri" w:cs="Calibri"/>
        </w:rPr>
        <w:t>’</w:t>
      </w:r>
      <w:r w:rsidRPr="00055D66">
        <w:rPr>
          <w:rFonts w:ascii="Calibri" w:eastAsia="MS Mincho" w:hAnsi="Calibri" w:cs="Calibri"/>
        </w:rPr>
        <w:t xml:space="preserve"> masculinity, which despite appearing to c</w:t>
      </w:r>
      <w:r w:rsidR="00AD55BC">
        <w:rPr>
          <w:rFonts w:ascii="Calibri" w:eastAsia="MS Mincho" w:hAnsi="Calibri" w:cs="Calibri"/>
        </w:rPr>
        <w:t>hampion</w:t>
      </w:r>
      <w:r w:rsidRPr="00055D66">
        <w:rPr>
          <w:rFonts w:ascii="Calibri" w:eastAsia="MS Mincho" w:hAnsi="Calibri" w:cs="Calibri"/>
        </w:rPr>
        <w:t xml:space="preserve"> gender equality</w:t>
      </w:r>
      <w:r w:rsidR="00AD55BC">
        <w:rPr>
          <w:rFonts w:ascii="Calibri" w:eastAsia="MS Mincho" w:hAnsi="Calibri" w:cs="Calibri"/>
        </w:rPr>
        <w:t>,</w:t>
      </w:r>
      <w:r w:rsidRPr="00055D66">
        <w:rPr>
          <w:rFonts w:ascii="Calibri" w:eastAsia="MS Mincho" w:hAnsi="Calibri" w:cs="Calibri"/>
        </w:rPr>
        <w:t xml:space="preserve"> remains ‘committed to ironic detachment, including the </w:t>
      </w:r>
      <w:r w:rsidR="003C6634">
        <w:rPr>
          <w:rFonts w:ascii="Calibri" w:eastAsia="MS Mincho" w:hAnsi="Calibri" w:cs="Calibri"/>
        </w:rPr>
        <w:t>“i</w:t>
      </w:r>
      <w:r w:rsidRPr="00055D66">
        <w:rPr>
          <w:rFonts w:ascii="Calibri" w:eastAsia="MS Mincho" w:hAnsi="Calibri" w:cs="Calibri"/>
        </w:rPr>
        <w:t>ronic</w:t>
      </w:r>
      <w:r w:rsidR="003C6634">
        <w:rPr>
          <w:rFonts w:ascii="Calibri" w:eastAsia="MS Mincho" w:hAnsi="Calibri" w:cs="Calibri"/>
        </w:rPr>
        <w:t>”</w:t>
      </w:r>
      <w:r w:rsidRPr="00055D66">
        <w:rPr>
          <w:rFonts w:ascii="Calibri" w:eastAsia="MS Mincho" w:hAnsi="Calibri" w:cs="Calibri"/>
        </w:rPr>
        <w:t xml:space="preserve"> use of racist and sexist </w:t>
      </w:r>
      <w:r w:rsidR="00301C85">
        <w:rPr>
          <w:rFonts w:ascii="Calibri" w:eastAsia="MS Mincho" w:hAnsi="Calibri" w:cs="Calibri"/>
        </w:rPr>
        <w:t>‘</w:t>
      </w:r>
      <w:r w:rsidRPr="00055D66">
        <w:rPr>
          <w:rFonts w:ascii="Calibri" w:eastAsia="MS Mincho" w:hAnsi="Calibri" w:cs="Calibri"/>
        </w:rPr>
        <w:t xml:space="preserve">humour’ that in many ways renders </w:t>
      </w:r>
      <w:r w:rsidR="00AD55BC">
        <w:rPr>
          <w:rFonts w:ascii="Calibri" w:eastAsia="MS Mincho" w:hAnsi="Calibri" w:cs="Calibri"/>
        </w:rPr>
        <w:t>it</w:t>
      </w:r>
      <w:r w:rsidRPr="00055D66">
        <w:rPr>
          <w:rFonts w:ascii="Calibri" w:eastAsia="MS Mincho" w:hAnsi="Calibri" w:cs="Calibri"/>
        </w:rPr>
        <w:t xml:space="preserve"> more similar to the </w:t>
      </w:r>
      <w:r w:rsidR="00AD55BC">
        <w:rPr>
          <w:rFonts w:ascii="Calibri" w:eastAsia="MS Mincho" w:hAnsi="Calibri" w:cs="Calibri"/>
        </w:rPr>
        <w:t>‘</w:t>
      </w:r>
      <w:r w:rsidRPr="00055D66">
        <w:rPr>
          <w:rFonts w:ascii="Calibri" w:eastAsia="MS Mincho" w:hAnsi="Calibri" w:cs="Calibri"/>
        </w:rPr>
        <w:t>lad</w:t>
      </w:r>
      <w:r w:rsidR="00AD55BC">
        <w:rPr>
          <w:rFonts w:ascii="Calibri" w:eastAsia="MS Mincho" w:hAnsi="Calibri" w:cs="Calibri"/>
        </w:rPr>
        <w:t>’</w:t>
      </w:r>
      <w:r w:rsidRPr="00055D66">
        <w:rPr>
          <w:rFonts w:ascii="Calibri" w:eastAsia="MS Mincho" w:hAnsi="Calibri" w:cs="Calibri"/>
        </w:rPr>
        <w:t xml:space="preserve"> that </w:t>
      </w:r>
      <w:r w:rsidR="003C6634">
        <w:rPr>
          <w:rFonts w:ascii="Calibri" w:eastAsia="MS Mincho" w:hAnsi="Calibri" w:cs="Calibri"/>
        </w:rPr>
        <w:t>it has apparently</w:t>
      </w:r>
      <w:r w:rsidRPr="00055D66">
        <w:rPr>
          <w:rFonts w:ascii="Calibri" w:eastAsia="MS Mincho" w:hAnsi="Calibri" w:cs="Calibri"/>
        </w:rPr>
        <w:t xml:space="preserve"> supersed</w:t>
      </w:r>
      <w:r w:rsidR="003C6634">
        <w:rPr>
          <w:rFonts w:ascii="Calibri" w:eastAsia="MS Mincho" w:hAnsi="Calibri" w:cs="Calibri"/>
        </w:rPr>
        <w:t>ed</w:t>
      </w:r>
      <w:r w:rsidRPr="00055D66">
        <w:rPr>
          <w:rFonts w:ascii="Calibri" w:eastAsia="MS Mincho" w:hAnsi="Calibri" w:cs="Calibri"/>
        </w:rPr>
        <w:t xml:space="preserve"> (Wallace, 2012 in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{"citationItems":[{"id":"ITEM-1","itemData":{"DOI":"10.1037/men0000075","ISSN":"15249220","abstract":"Social psychologists have argued that popular U.K. and U.S. men’s magazines known as “lads’ mags” have normalized hostile sexism among young men. Three studies develop this argument. First, a survey of 423 young U.K. men found that ambivalent sexism predicted attitudes toward the consumption of lads’ mags, but not other forms of direct sexual consumption (paying for sex or patronizing strip clubs). Second, Study 2 (N = 81) found that young men low in sexism rated sexist jokes as less hostile toward women, but not as either funnier nor more ironic, when those jokes were presented within a lads’ mags context. These findings refute the idea that young men readily read lads’ mags’ sexism as ironic or “harmless fun.” They show instead that placing sexist jokes in lads’ mags contexts makes them appear less hostile. The third study (N = 275) demonstrated that young men perceived lads’ mags as less legitimate after attempting to distinguish the contents of lads’ mags from rapists’ legitimations of their crimes. Implications for contemporary studies of masculinities and consumption are discussed. (PsycINFO Database Record (c) 2016 APA, all rights reserved)","author":[{"dropping-particle":"","family":"Hegarty","given":"Peter","non-dropping-particle":"","parse-names":false,"suffix":""},{"dropping-particle":"","family":"Stewart","given":"Andrew L.","non-dropping-particle":"","parse-names":false,"suffix":""},{"dropping-particle":"","family":"Blockmans","given":"Inge G.E.","non-dropping-particle":"","parse-names":false,"suffix":""},{"dropping-particle":"","family":"Horvath","given":"Miranda A.H.","non-dropping-particle":"","parse-names":false,"suffix":""}],"container-title":"Psychology of Men and Masculinity","id":"ITEM-1","issue":"1","issued":{"date-parts":[["2018"]]},"page":"131-144","title":"The influence of magazines on men: Normalizing and challenging young men's prejudice with \"Lads' Mags\"","type":"article-journal","volume":"19"},"locator":"142","uris":["http://www.mendeley.com/documents/?uuid=6167fba2-01f9-4df4-b703-6b474fdb3077"]}],"mendeley":{"formattedCitation":"(Hegarty &lt;i&gt;et al.&lt;/i&gt;, 2018, p. 142)","manualFormatting":"Hegarty et al. 2018, p.142)","plainTextFormattedCitation":"(Hegarty et al., 2018, p. 142)","previouslyFormattedCitation":"(Hegarty &lt;i&gt;et al.&lt;/i&gt;, 2018, p. 142)"},"properties":{"noteIndex":0},"schema":"https://github.com/citation-style-language/schema/raw/master/csl-citation.json"}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Hegarty </w:t>
      </w:r>
      <w:r w:rsidR="0080697E" w:rsidRPr="0080697E">
        <w:rPr>
          <w:rFonts w:ascii="Calibri" w:eastAsia="MS Mincho" w:hAnsi="Calibri" w:cs="Calibri"/>
          <w:i/>
          <w:iCs/>
          <w:noProof/>
        </w:rPr>
        <w:t>et al</w:t>
      </w:r>
      <w:r w:rsidR="0080697E">
        <w:rPr>
          <w:rFonts w:ascii="Calibri" w:eastAsia="MS Mincho" w:hAnsi="Calibri" w:cs="Calibri"/>
          <w:noProof/>
        </w:rPr>
        <w:t>.,</w:t>
      </w:r>
      <w:r w:rsidRPr="00055D66">
        <w:rPr>
          <w:rFonts w:ascii="Calibri" w:eastAsia="MS Mincho" w:hAnsi="Calibri" w:cs="Calibri"/>
          <w:noProof/>
        </w:rPr>
        <w:t xml:space="preserve"> 2018, p.142)</w:t>
      </w:r>
      <w:r w:rsidRPr="00055D66">
        <w:rPr>
          <w:rFonts w:ascii="Calibri" w:eastAsia="MS Mincho" w:hAnsi="Calibri" w:cs="Calibri"/>
        </w:rPr>
        <w:fldChar w:fldCharType="end"/>
      </w:r>
      <w:r w:rsidRPr="00055D66">
        <w:rPr>
          <w:rFonts w:ascii="Calibri" w:eastAsia="MS Mincho" w:hAnsi="Calibri" w:cs="Calibri"/>
        </w:rPr>
        <w:t>.</w:t>
      </w:r>
      <w:r>
        <w:rPr>
          <w:rFonts w:ascii="Calibri" w:eastAsia="MS Mincho" w:hAnsi="Calibri" w:cs="Calibri"/>
        </w:rPr>
        <w:t xml:space="preserve"> It has been argued that the feminisation of traditional masculinity only conceals </w:t>
      </w:r>
      <w:r w:rsidR="00AD55BC">
        <w:rPr>
          <w:rFonts w:ascii="Calibri" w:eastAsia="MS Mincho" w:hAnsi="Calibri" w:cs="Calibri"/>
        </w:rPr>
        <w:t xml:space="preserve">the </w:t>
      </w:r>
      <w:r>
        <w:rPr>
          <w:rFonts w:ascii="Calibri" w:eastAsia="MS Mincho" w:hAnsi="Calibri" w:cs="Calibri"/>
        </w:rPr>
        <w:t xml:space="preserve">hegemonic status </w:t>
      </w:r>
      <w:r w:rsidR="00AD55BC">
        <w:rPr>
          <w:rFonts w:ascii="Calibri" w:eastAsia="MS Mincho" w:hAnsi="Calibri" w:cs="Calibri"/>
        </w:rPr>
        <w:t xml:space="preserve">of </w:t>
      </w:r>
      <w:r>
        <w:rPr>
          <w:rFonts w:ascii="Calibri" w:eastAsia="MS Mincho" w:hAnsi="Calibri" w:cs="Calibri"/>
        </w:rPr>
        <w:t>the new, emerging masculinities: By denigrating men who embody a traditionally hegemonic masculinity – men who likely have less access to economic and cultural capital – these ‘new men’ acquire masculine hegemony</w:t>
      </w:r>
      <w:r w:rsidR="00FC0B03">
        <w:rPr>
          <w:rFonts w:ascii="Calibri" w:eastAsia="MS Mincho" w:hAnsi="Calibri" w:cs="Calibri"/>
        </w:rPr>
        <w:t>, and the inequalities between men, including on the basis of affluence, are perpetuated</w:t>
      </w:r>
      <w:r>
        <w:rPr>
          <w:rFonts w:ascii="Calibri" w:eastAsia="MS Mincho" w:hAnsi="Calibri" w:cs="Calibri"/>
        </w:rPr>
        <w:t xml:space="preserve"> (e.g., </w:t>
      </w:r>
      <w:r w:rsidR="002E22AA">
        <w:rPr>
          <w:rFonts w:ascii="Calibri" w:eastAsia="MS Mincho" w:hAnsi="Calibri" w:cs="Calibri"/>
        </w:rPr>
        <w:t>Hall &amp; Gough,</w:t>
      </w:r>
      <w:r>
        <w:rPr>
          <w:rFonts w:ascii="Calibri" w:eastAsia="MS Mincho" w:hAnsi="Calibri" w:cs="Calibri"/>
        </w:rPr>
        <w:t xml:space="preserve"> 20</w:t>
      </w:r>
      <w:r w:rsidR="002E22AA">
        <w:rPr>
          <w:rFonts w:ascii="Calibri" w:eastAsia="MS Mincho" w:hAnsi="Calibri" w:cs="Calibri"/>
        </w:rPr>
        <w:t>1</w:t>
      </w:r>
      <w:r>
        <w:rPr>
          <w:rFonts w:ascii="Calibri" w:eastAsia="MS Mincho" w:hAnsi="Calibri" w:cs="Calibri"/>
        </w:rPr>
        <w:t>1)</w:t>
      </w:r>
      <w:r w:rsidR="00FC0B03">
        <w:rPr>
          <w:rFonts w:ascii="Calibri" w:eastAsia="MS Mincho" w:hAnsi="Calibri" w:cs="Calibri"/>
        </w:rPr>
        <w:t xml:space="preserve">. </w:t>
      </w:r>
      <w:r>
        <w:rPr>
          <w:rFonts w:ascii="Calibri" w:eastAsia="MS Mincho" w:hAnsi="Calibri" w:cs="Calibri"/>
        </w:rPr>
        <w:t xml:space="preserve">This </w:t>
      </w:r>
      <w:r w:rsidRPr="00055D66">
        <w:rPr>
          <w:rFonts w:ascii="Calibri" w:eastAsia="MS Mincho" w:hAnsi="Calibri" w:cs="Calibri"/>
        </w:rPr>
        <w:t>highlight</w:t>
      </w:r>
      <w:r>
        <w:rPr>
          <w:rFonts w:ascii="Calibri" w:eastAsia="MS Mincho" w:hAnsi="Calibri" w:cs="Calibri"/>
        </w:rPr>
        <w:t>s</w:t>
      </w:r>
      <w:r w:rsidRPr="00055D66">
        <w:rPr>
          <w:rFonts w:ascii="Calibri" w:eastAsia="MS Mincho" w:hAnsi="Calibri" w:cs="Calibri"/>
        </w:rPr>
        <w:t xml:space="preserve"> the complexity in the construction </w:t>
      </w:r>
      <w:r w:rsidR="00AD55BC">
        <w:rPr>
          <w:rFonts w:ascii="Calibri" w:eastAsia="MS Mincho" w:hAnsi="Calibri" w:cs="Calibri"/>
        </w:rPr>
        <w:t>and understanding of</w:t>
      </w:r>
      <w:r w:rsidRPr="00055D66">
        <w:rPr>
          <w:rFonts w:ascii="Calibri" w:eastAsia="MS Mincho" w:hAnsi="Calibri" w:cs="Calibri"/>
        </w:rPr>
        <w:t xml:space="preserve"> contemporary masculine identities.</w:t>
      </w:r>
    </w:p>
    <w:p w14:paraId="79216B87" w14:textId="15F36557" w:rsidR="00104267" w:rsidRDefault="0079774D" w:rsidP="0079774D">
      <w:pPr>
        <w:spacing w:line="360" w:lineRule="auto"/>
        <w:rPr>
          <w:rFonts w:ascii="Calibri" w:eastAsia="MS Mincho" w:hAnsi="Calibri" w:cs="Calibri"/>
        </w:rPr>
      </w:pPr>
      <w:r w:rsidRPr="46D54B89">
        <w:rPr>
          <w:rFonts w:ascii="Calibri" w:eastAsia="MS Mincho" w:hAnsi="Calibri" w:cs="Calibri"/>
        </w:rPr>
        <w:fldChar w:fldCharType="begin" w:fldLock="1"/>
      </w:r>
      <w:r w:rsidRPr="46D54B89">
        <w:rPr>
          <w:rFonts w:ascii="Calibri" w:eastAsia="MS Mincho" w:hAnsi="Calibri" w:cs="Calibri"/>
        </w:rPr>
        <w:instrText>ADDIN CSL_CITATION {"citationItems":[{"id":"ITEM-1","itemData":{"DOI":"10.1037/men0000064","ISBN":"1524-9220\\r1939-151X","ISSN":"15249220","abstract":"Research suggests a link between masculine norms and drinking behaviors and related consequences; however, the mechanisms of risk are not well understood, particularly with respect to drinking games. The present study helps bridge the masculinity and alcohol use literatures by examining the mechanisms by which certain masculine norms (i.e., winning, risk taking, heterosexual presentation, power over women, and playboy norms) are directly associated with drinking game behaviors and consequences, and indirectly by way of increased motivations to play drinking games for competition reasons, for enhance- ment/thrills, and/or to sexually manipulate others. Participants completed anonymous self-report surveys and consisted of young adult men who were current drinkers and drinking gamers (N?905). Controlling for typical alcohol use on nondrinking game occasions, results indicated that certain masculine norms (i.e., heterosexual presentation, risk taking, and power over women) were directly associated with drinking game behaviors and/or consequences. Consistent with motivational models of alcohol use, conformity to masculine norms was also indirectly related to drinking game behaviors and consequences through their associations with specific drinking game motives. Both power over women and playboy norms were indirectly related to negative drinking game consequences through their positive associations with sexual manipulation motives. In addition, risk taking, winning, and playboy norms were indirectly related to drinking game behaviors and related consequences by way of increased endorsement of enhancement/thrills motives. Finally, risk taking, winning, and power over women were indirectly related to drinking game frequency through their positive associations with competition motives. Implications for intervention and future research are discussed.","author":[{"dropping-particle":"","family":"Zamboanga","given":"Byron L.","non-dropping-particle":"","parse-names":false,"suffix":""},{"dropping-particle":"","family":"Audley","given":"Shannon","non-dropping-particle":"","parse-names":false,"suffix":""},{"dropping-particle":"","family":"Iwamoto","given":"Derek K.","non-dropping-particle":"","parse-names":false,"suffix":""},{"dropping-particle":"","family":"Martin","given":"Jessica L.","non-dropping-particle":"","parse-names":false,"suffix":""},{"dropping-particle":"","family":"Tomaso","given":"Cara C.","non-dropping-particle":"","parse-names":false,"suffix":""}],"container-title":"Psychology of Men and Masculinity","id":"ITEM-1","issue":"4","issued":{"date-parts":[["2017"]]},"page":"280-292","title":"The risks of being \"Manly\": Masculine norms and drinking game motives, behaviors, and related consequences among men","type":"article-journal","volume":"18"},"uris":["http://www.mendeley.com/documents/?uuid=83990915-1919-4717-af6b-7185442c2603"]}],"mendeley":{"formattedCitation":"(Zamboanga &lt;i&gt;et al.&lt;/i&gt;, 2017)","plainTextFormattedCitation":"(Zamboanga et al., 2017)","previouslyFormattedCitation":"(Zamboanga &lt;i&gt;et al.&lt;/i&gt;, 2017)"},"properties":{"noteIndex":0},"schema":"https://github.com/citation-style-language/schema/raw/master/csl-citation.json"}</w:instrText>
      </w:r>
      <w:r w:rsidRPr="46D54B89">
        <w:rPr>
          <w:rFonts w:ascii="Calibri" w:eastAsia="MS Mincho" w:hAnsi="Calibri" w:cs="Calibri"/>
        </w:rPr>
        <w:fldChar w:fldCharType="end"/>
      </w:r>
    </w:p>
    <w:p w14:paraId="46EEA3F4" w14:textId="31FA341E" w:rsidR="00104267" w:rsidRPr="00A909E0" w:rsidRDefault="00A909E0" w:rsidP="00104267">
      <w:pPr>
        <w:spacing w:line="360" w:lineRule="auto"/>
        <w:rPr>
          <w:rFonts w:ascii="Calibri" w:eastAsia="MS Mincho" w:hAnsi="Calibri" w:cs="Calibri"/>
          <w:i/>
          <w:iCs/>
        </w:rPr>
      </w:pPr>
      <w:r w:rsidRPr="00A909E0">
        <w:rPr>
          <w:rFonts w:ascii="Calibri" w:eastAsia="MS Mincho" w:hAnsi="Calibri" w:cs="Calibri"/>
          <w:i/>
          <w:iCs/>
        </w:rPr>
        <w:t>2.2.2</w:t>
      </w:r>
      <w:r>
        <w:rPr>
          <w:rFonts w:ascii="Calibri" w:eastAsia="MS Mincho" w:hAnsi="Calibri" w:cs="Calibri"/>
          <w:i/>
          <w:iCs/>
        </w:rPr>
        <w:t xml:space="preserve"> </w:t>
      </w:r>
      <w:proofErr w:type="gramStart"/>
      <w:r w:rsidR="00104267" w:rsidRPr="00A909E0">
        <w:rPr>
          <w:rFonts w:ascii="Calibri" w:eastAsia="MS Mincho" w:hAnsi="Calibri" w:cs="Calibri"/>
          <w:i/>
          <w:iCs/>
        </w:rPr>
        <w:t>Non-normative</w:t>
      </w:r>
      <w:proofErr w:type="gramEnd"/>
      <w:r w:rsidR="00104267" w:rsidRPr="00A909E0">
        <w:rPr>
          <w:rFonts w:ascii="Calibri" w:eastAsia="MS Mincho" w:hAnsi="Calibri" w:cs="Calibri"/>
          <w:i/>
          <w:iCs/>
        </w:rPr>
        <w:t xml:space="preserve"> identities </w:t>
      </w:r>
    </w:p>
    <w:p w14:paraId="4C1492F1" w14:textId="68B4846A" w:rsidR="00104267" w:rsidRDefault="00104267" w:rsidP="00104267">
      <w:pPr>
        <w:spacing w:line="360" w:lineRule="auto"/>
        <w:rPr>
          <w:rFonts w:ascii="Calibri" w:eastAsia="MS Mincho" w:hAnsi="Calibri" w:cs="Calibri"/>
        </w:rPr>
      </w:pPr>
      <w:r>
        <w:rPr>
          <w:rFonts w:ascii="Calibri" w:eastAsia="MS Mincho" w:hAnsi="Calibri" w:cs="Calibri"/>
        </w:rPr>
        <w:t xml:space="preserve">Connell (2005) argued that heterosexuality is the lynchpin of hegemonic masculinity, because the sexual objectification of women contributes to cultural patriarchy. Gay and bisexual men, and other men who have sex with men (MSM), are therefore an affront to hegemonic masculinity, and they experience cultural subjugation as a consequence, not least via the ‘undercurrent of threat’ that pervades daily life (Connell, 2005, p. </w:t>
      </w:r>
      <w:r w:rsidR="00331689">
        <w:rPr>
          <w:rFonts w:ascii="Calibri" w:eastAsia="MS Mincho" w:hAnsi="Calibri" w:cs="Calibri"/>
        </w:rPr>
        <w:t>155</w:t>
      </w:r>
      <w:r>
        <w:rPr>
          <w:rFonts w:ascii="Calibri" w:eastAsia="MS Mincho" w:hAnsi="Calibri" w:cs="Calibri"/>
        </w:rPr>
        <w:t xml:space="preserve">). Young gay men may experience marginalisation and homophobic bullying at school, where discourses of hegemonic masculinity delineate expectations of boys as interested in and proficient at sport, less interested in academic pursuits, and with a sexual or romantic interest in girls (e.g., Swain, 2006). Data from Stonewall’s </w:t>
      </w:r>
      <w:r w:rsidR="00331689">
        <w:rPr>
          <w:rFonts w:ascii="Calibri" w:eastAsia="MS Mincho" w:hAnsi="Calibri" w:cs="Calibri"/>
        </w:rPr>
        <w:t xml:space="preserve">2017 </w:t>
      </w:r>
      <w:r>
        <w:rPr>
          <w:rFonts w:ascii="Calibri" w:eastAsia="MS Mincho" w:hAnsi="Calibri" w:cs="Calibri"/>
        </w:rPr>
        <w:t>School Report identified that although LGBT bullying in schools seems to be decreasing, more than half of lesbian, gay, bisexual, pansexual, and queer-identifying young people had experienced homophobic bullying, with displays of non-gender conforming attributes identified as a contributing factor</w:t>
      </w:r>
      <w:r w:rsidR="000F0D24">
        <w:rPr>
          <w:rFonts w:ascii="Calibri" w:eastAsia="MS Mincho" w:hAnsi="Calibri" w:cs="Calibri"/>
        </w:rPr>
        <w:t xml:space="preserve"> (Bradlow </w:t>
      </w:r>
      <w:r w:rsidR="0080697E" w:rsidRPr="0080697E">
        <w:rPr>
          <w:rFonts w:ascii="Calibri" w:eastAsia="MS Mincho" w:hAnsi="Calibri" w:cs="Calibri"/>
          <w:i/>
          <w:iCs/>
        </w:rPr>
        <w:t>et al</w:t>
      </w:r>
      <w:r w:rsidR="0080697E">
        <w:rPr>
          <w:rFonts w:ascii="Calibri" w:eastAsia="MS Mincho" w:hAnsi="Calibri" w:cs="Calibri"/>
        </w:rPr>
        <w:t>.,</w:t>
      </w:r>
      <w:r w:rsidR="000F0D24">
        <w:rPr>
          <w:rFonts w:ascii="Calibri" w:eastAsia="MS Mincho" w:hAnsi="Calibri" w:cs="Calibri"/>
        </w:rPr>
        <w:t xml:space="preserve"> 2017)</w:t>
      </w:r>
      <w:r>
        <w:rPr>
          <w:rFonts w:ascii="Calibri" w:eastAsia="MS Mincho" w:hAnsi="Calibri" w:cs="Calibri"/>
        </w:rPr>
        <w:t xml:space="preserve">. According to the </w:t>
      </w:r>
      <w:r>
        <w:rPr>
          <w:rFonts w:ascii="Calibri" w:eastAsia="MS Mincho" w:hAnsi="Calibri" w:cs="Calibri"/>
        </w:rPr>
        <w:lastRenderedPageBreak/>
        <w:t xml:space="preserve">Stonewall </w:t>
      </w:r>
      <w:r w:rsidR="000F0D24">
        <w:rPr>
          <w:rFonts w:ascii="Calibri" w:eastAsia="MS Mincho" w:hAnsi="Calibri" w:cs="Calibri"/>
        </w:rPr>
        <w:t>report</w:t>
      </w:r>
      <w:r>
        <w:rPr>
          <w:rFonts w:ascii="Calibri" w:eastAsia="MS Mincho" w:hAnsi="Calibri" w:cs="Calibri"/>
        </w:rPr>
        <w:t xml:space="preserve">, over 50% of young trans people and young people unsure of their gender identity had experienced transphobic bullying, and 10% of trans respondents reported having received death threats at school.  </w:t>
      </w:r>
    </w:p>
    <w:p w14:paraId="4C561672" w14:textId="77777777" w:rsidR="00104267" w:rsidRDefault="00104267" w:rsidP="00104267">
      <w:pPr>
        <w:spacing w:line="360" w:lineRule="auto"/>
        <w:rPr>
          <w:rFonts w:ascii="Calibri" w:eastAsia="MS Mincho" w:hAnsi="Calibri" w:cs="Calibri"/>
        </w:rPr>
      </w:pPr>
    </w:p>
    <w:p w14:paraId="48217768" w14:textId="31992160" w:rsidR="00104267" w:rsidRDefault="00104267" w:rsidP="00104267">
      <w:pPr>
        <w:spacing w:line="360" w:lineRule="auto"/>
        <w:rPr>
          <w:rFonts w:ascii="Calibri" w:eastAsia="MS Mincho" w:hAnsi="Calibri" w:cs="Calibri"/>
        </w:rPr>
      </w:pPr>
      <w:r>
        <w:rPr>
          <w:rFonts w:ascii="Calibri" w:eastAsia="MS Mincho" w:hAnsi="Calibri" w:cs="Calibri"/>
        </w:rPr>
        <w:t xml:space="preserve">It is widely documented that young LGBT people are disproportionately affected by poor mental health and emotional wellbeing, including self-harm and suicidality. </w:t>
      </w:r>
      <w:r w:rsidR="000F0D24">
        <w:rPr>
          <w:rFonts w:ascii="Calibri" w:eastAsia="MS Mincho" w:hAnsi="Calibri" w:cs="Calibri"/>
        </w:rPr>
        <w:t xml:space="preserve">Bradlow </w:t>
      </w:r>
      <w:r w:rsidR="0080697E" w:rsidRPr="0080697E">
        <w:rPr>
          <w:rFonts w:ascii="Calibri" w:eastAsia="MS Mincho" w:hAnsi="Calibri" w:cs="Calibri"/>
          <w:i/>
          <w:iCs/>
        </w:rPr>
        <w:t>et al</w:t>
      </w:r>
      <w:r w:rsidR="0080697E">
        <w:rPr>
          <w:rFonts w:ascii="Calibri" w:eastAsia="MS Mincho" w:hAnsi="Calibri" w:cs="Calibri"/>
        </w:rPr>
        <w:t>.,</w:t>
      </w:r>
      <w:r w:rsidR="000F0D24">
        <w:rPr>
          <w:rFonts w:ascii="Calibri" w:eastAsia="MS Mincho" w:hAnsi="Calibri" w:cs="Calibri"/>
        </w:rPr>
        <w:t xml:space="preserve"> (2017)</w:t>
      </w:r>
      <w:r>
        <w:rPr>
          <w:rFonts w:ascii="Calibri" w:eastAsia="MS Mincho" w:hAnsi="Calibri" w:cs="Calibri"/>
        </w:rPr>
        <w:t xml:space="preserve"> reported that more than 90% of trans young people, and 70% of LGB young people had considered suicide, compared with an estimated 25% of young people generally. The Minority Stress model (Meyer, </w:t>
      </w:r>
      <w:r w:rsidR="00CB23D7">
        <w:rPr>
          <w:rFonts w:ascii="Calibri" w:eastAsia="MS Mincho" w:hAnsi="Calibri" w:cs="Calibri"/>
        </w:rPr>
        <w:t>1995</w:t>
      </w:r>
      <w:r>
        <w:rPr>
          <w:rFonts w:ascii="Calibri" w:eastAsia="MS Mincho" w:hAnsi="Calibri" w:cs="Calibri"/>
        </w:rPr>
        <w:t xml:space="preserve">) has been used employed to explain the vulnerability of LGBT+ people to mental distress. The model posits that LGBT+ people internalise the systematic, institutional heteronormativity, and homophobia and transphobia, they are exposed to in education, within the family, via the media, and in other institutions, and develop self-directed negative affect, or ‘internalised homonegativity / heterosexism’.  It is likely to that young trans men face unique challenges to their mental health and wellbeing, given that trans masculinities are thought to occupy the lowest rung of the </w:t>
      </w:r>
      <w:proofErr w:type="gramStart"/>
      <w:r>
        <w:rPr>
          <w:rFonts w:ascii="Calibri" w:eastAsia="MS Mincho" w:hAnsi="Calibri" w:cs="Calibri"/>
        </w:rPr>
        <w:t>masculinities</w:t>
      </w:r>
      <w:proofErr w:type="gramEnd"/>
      <w:r>
        <w:rPr>
          <w:rFonts w:ascii="Calibri" w:eastAsia="MS Mincho" w:hAnsi="Calibri" w:cs="Calibri"/>
        </w:rPr>
        <w:t xml:space="preserve"> hierarchy (Connell, 2005). Research into trans masculinities is an emerging stream of literature, and more research is needed to ascertain how transmen negotiate their identities in the context of competing discourses of masculinity.</w:t>
      </w:r>
    </w:p>
    <w:p w14:paraId="1E0D8802" w14:textId="77777777" w:rsidR="00104267" w:rsidRDefault="00104267" w:rsidP="0079774D">
      <w:pPr>
        <w:spacing w:line="360" w:lineRule="auto"/>
        <w:rPr>
          <w:rFonts w:ascii="Calibri" w:eastAsia="MS Mincho" w:hAnsi="Calibri" w:cs="Calibri"/>
        </w:rPr>
      </w:pPr>
    </w:p>
    <w:p w14:paraId="68330A39" w14:textId="09572CA6" w:rsidR="00A8207C" w:rsidRPr="00114D69" w:rsidRDefault="00114D69" w:rsidP="0079774D">
      <w:pPr>
        <w:spacing w:line="360" w:lineRule="auto"/>
        <w:rPr>
          <w:rFonts w:ascii="Calibri" w:eastAsia="MS Mincho" w:hAnsi="Calibri" w:cs="Calibri"/>
          <w:i/>
          <w:iCs/>
        </w:rPr>
      </w:pPr>
      <w:r w:rsidRPr="00114D69">
        <w:rPr>
          <w:rFonts w:ascii="Calibri" w:eastAsia="MS Mincho" w:hAnsi="Calibri" w:cs="Calibri"/>
          <w:i/>
          <w:iCs/>
        </w:rPr>
        <w:t xml:space="preserve">2.2.3 </w:t>
      </w:r>
      <w:r w:rsidR="00104267" w:rsidRPr="00114D69">
        <w:rPr>
          <w:rFonts w:ascii="Calibri" w:eastAsia="MS Mincho" w:hAnsi="Calibri" w:cs="Calibri"/>
          <w:i/>
          <w:iCs/>
        </w:rPr>
        <w:t>Young men as ‘vulnerable’</w:t>
      </w:r>
    </w:p>
    <w:p w14:paraId="6AE53DF6" w14:textId="1F69E5C0" w:rsidR="00A8207C" w:rsidRPr="00EE05AA" w:rsidRDefault="00104267" w:rsidP="00A8207C">
      <w:pPr>
        <w:spacing w:line="360" w:lineRule="auto"/>
        <w:rPr>
          <w:rFonts w:asciiTheme="majorHAnsi" w:hAnsiTheme="majorHAnsi" w:cstheme="majorHAnsi"/>
        </w:rPr>
      </w:pPr>
      <w:r>
        <w:rPr>
          <w:rFonts w:asciiTheme="majorHAnsi" w:hAnsiTheme="majorHAnsi" w:cstheme="majorHAnsi"/>
        </w:rPr>
        <w:t>Given that men are broadly conceptualised as perpetrators rather than victims, and that their criminality can be explained in terms of masculine power and status, i</w:t>
      </w:r>
      <w:r w:rsidR="00A8207C" w:rsidRPr="00EE05AA">
        <w:rPr>
          <w:rFonts w:asciiTheme="majorHAnsi" w:hAnsiTheme="majorHAnsi" w:cstheme="majorHAnsi"/>
        </w:rPr>
        <w:t>t can be difficult for people to see how a young man’s vulnerabilities contribute to undesirable outcomes (Vuattoux</w:t>
      </w:r>
      <w:r w:rsidR="00114D69">
        <w:rPr>
          <w:rFonts w:asciiTheme="majorHAnsi" w:hAnsiTheme="majorHAnsi" w:cstheme="majorHAnsi"/>
        </w:rPr>
        <w:t>,</w:t>
      </w:r>
      <w:r w:rsidR="00A8207C" w:rsidRPr="00EE05AA">
        <w:rPr>
          <w:rFonts w:asciiTheme="majorHAnsi" w:hAnsiTheme="majorHAnsi" w:cstheme="majorHAnsi"/>
        </w:rPr>
        <w:t xml:space="preserve"> 2018) for themselves and the wider community. A SCR into the murder by gunshot wound of Chris, 14-year-old boy from Newham who identified as being of Caribbean heritage, explores the bind of the ‘victim/perpetrator overlap’ (Hill, 2018, p.15) in Chris’s identity. Chris was a gang member, who engaged in drug use, violence and sexualised behaviours. Chris was also </w:t>
      </w:r>
      <w:r w:rsidR="00A8207C" w:rsidRPr="00EE05AA">
        <w:rPr>
          <w:rFonts w:asciiTheme="majorHAnsi" w:hAnsiTheme="majorHAnsi" w:cstheme="majorHAnsi"/>
        </w:rPr>
        <w:lastRenderedPageBreak/>
        <w:t xml:space="preserve">described as an extremely vulnerable young man who experienced parental domestic violence, physical abuse as a child and received diagnoses of </w:t>
      </w:r>
      <w:proofErr w:type="gramStart"/>
      <w:r w:rsidR="00A8207C" w:rsidRPr="00EE05AA">
        <w:rPr>
          <w:rFonts w:asciiTheme="majorHAnsi" w:hAnsiTheme="majorHAnsi" w:cstheme="majorHAnsi"/>
        </w:rPr>
        <w:t>Attention Deficit Hyperactivity Disorder</w:t>
      </w:r>
      <w:proofErr w:type="gramEnd"/>
      <w:r w:rsidR="00A8207C" w:rsidRPr="00EE05AA">
        <w:rPr>
          <w:rFonts w:asciiTheme="majorHAnsi" w:hAnsiTheme="majorHAnsi" w:cstheme="majorHAnsi"/>
        </w:rPr>
        <w:t xml:space="preserve"> (ADHD) and Conduct Disorder. </w:t>
      </w:r>
    </w:p>
    <w:p w14:paraId="77870465" w14:textId="77777777" w:rsidR="00A8207C" w:rsidRPr="00EE05AA" w:rsidRDefault="00A8207C" w:rsidP="00A8207C">
      <w:pPr>
        <w:spacing w:line="360" w:lineRule="auto"/>
        <w:rPr>
          <w:rFonts w:asciiTheme="majorHAnsi" w:hAnsiTheme="majorHAnsi" w:cstheme="majorHAnsi"/>
        </w:rPr>
      </w:pPr>
    </w:p>
    <w:p w14:paraId="11C0849D" w14:textId="77777777" w:rsidR="00A8207C" w:rsidRPr="00EE05AA" w:rsidRDefault="00A8207C" w:rsidP="088F2921">
      <w:pPr>
        <w:spacing w:line="360" w:lineRule="auto"/>
        <w:rPr>
          <w:rFonts w:asciiTheme="majorHAnsi" w:hAnsiTheme="majorHAnsi" w:cstheme="majorBidi"/>
        </w:rPr>
      </w:pPr>
      <w:r w:rsidRPr="088F2921">
        <w:rPr>
          <w:rFonts w:asciiTheme="majorHAnsi" w:hAnsiTheme="majorHAnsi" w:cstheme="majorBidi"/>
        </w:rPr>
        <w:t xml:space="preserve">﻿Adolescents with ADHD are described as a vulnerable group with symptoms having  a large impact on many aspects of a young person’s life, such as employment, relationships, more pronounced transition difficulties and increased risk of substance misuse </w:t>
      </w:r>
      <w:r w:rsidRPr="088F2921">
        <w:rPr>
          <w:rFonts w:asciiTheme="majorHAnsi" w:hAnsiTheme="majorHAnsi" w:cstheme="majorBidi"/>
        </w:rPr>
        <w:fldChar w:fldCharType="begin"/>
      </w:r>
      <w:r w:rsidRPr="088F2921">
        <w:rPr>
          <w:rFonts w:asciiTheme="majorHAnsi" w:hAnsiTheme="majorHAnsi" w:cstheme="majorBidi"/>
        </w:rPr>
        <w:instrText>ADDIN CSL_CITATION {"citationItems":[{"id":"ITEM-1","itemData":{"DOI":"10.1111/cch.12107","ISBN":"0305-1862","ISSN":"13652214","PMID":"24164052","abstract":"There is increased awareness that attention deficit hyperactivity disorder (ADHD) continues into adulthood. Thus, health services are faced with a new challenge in providing a 'smooth' transition to adult services appropriate for young people with ADHD. This scoping review sought to identify the literature addressing transition for young people with ADHD to adult mental health services (AMHS). A scoping review, in which the search terms 'ADHD' and 'Transition' or 'Transfer' were entered into eight healthcare publication databases facilitated by NHS Evidence to identify both published and unpublished papers between 2000 and June 2013. Additional informal searches were also undertaken. Twenty-three papers were selected for this review. This review confirms the lack of research explicitly tracking transition from Paediatrics/Child and Adolescent Mental Health Services (CAMHS) to AMHS for young people with ADHD. Only four papers directly studying transition for ADHD patients were identified. Three further studies surveyed clinician perspectives. Taken together, the studies address a number of issues in relation to transition, including the developmental course of ADHD symptoms, appropriate adult care, knowledge and communication, unmet need, comorbidities, environmental demands and medication cessation/dosage during the transition period. While literature surrounding transition exists, the scope of the evidence showing successful and unsuccessful transition activity from Paediatric and CAMHS to AMHS for young people with ADHD is limited. Future quality research in the form of audits, longitudinal tracking studies and service evaluations are required if we are truly to understand and identify what is needed and currently available for successful transition to an appropriate adult service for ADHD patients.","author":[{"dropping-particle":"","family":"Swift","given":"K. D.","non-dropping-particle":"","parse-names":false,"suffix":""},{"dropping-particle":"","family":"Sayal","given":"K.","non-dropping-particle":"","parse-names":false,"suffix":""},{"dropping-particle":"","family":"Hollis","given":"C.","non-dropping-particle":"","parse-names":false,"suffix":""}],"container-title":"Child: Care, Health and Development","id":"ITEM-1","issue":"6","issued":{"date-parts":[["2014"]]},"page":"775-786","title":"ADHD and transitions to adult mental health services: A scoping review","type":"article-journal","volume":"40"},"uris":["http://www.mendeley.com/documents/?uuid=dc7537ef-16f2-479c-97ea-d4db7cc61cc2"]}],"mendeley":{"formattedCitation":"(Swift, Sayal and Hollis, 2014)","plainTextFormattedCitation":"(Swift, Sayal and Hollis, 2014)","previouslyFormattedCitation":"(Swift, Sayal and Hollis, 2014)"},"properties":{"noteIndex":0},"schema":"https://github.com/citation-style-language/schema/raw/master/csl-citation.json"}</w:instrText>
      </w:r>
      <w:r w:rsidRPr="088F2921">
        <w:rPr>
          <w:rFonts w:asciiTheme="majorHAnsi" w:hAnsiTheme="majorHAnsi" w:cstheme="majorBidi"/>
        </w:rPr>
        <w:fldChar w:fldCharType="separate"/>
      </w:r>
      <w:r w:rsidRPr="088F2921">
        <w:rPr>
          <w:rFonts w:asciiTheme="majorHAnsi" w:hAnsiTheme="majorHAnsi" w:cstheme="majorBidi"/>
          <w:noProof/>
        </w:rPr>
        <w:t>(Swift, Sayal and Hollis, 2014)</w:t>
      </w:r>
      <w:r w:rsidRPr="088F2921">
        <w:rPr>
          <w:rFonts w:asciiTheme="majorHAnsi" w:hAnsiTheme="majorHAnsi" w:cstheme="majorBidi"/>
        </w:rPr>
        <w:fldChar w:fldCharType="end"/>
      </w:r>
      <w:r w:rsidRPr="088F2921">
        <w:rPr>
          <w:rFonts w:asciiTheme="majorHAnsi" w:hAnsiTheme="majorHAnsi" w:cstheme="majorBidi"/>
        </w:rPr>
        <w:t>. Despite being ‘a chatty young man’, Chris’s ‘voice’ was rarely heard, in relation to his fears and lack of choice in serving his ‘elders’ (Hill 2018, p.39). Response, such as a full assessment of family dynamics and preventative interventions into Chris’s developing network of exploitative, peer associations ‘did not happen’ (Hill 2018, p.16) and the perpetrators of his murder remain unknown.</w:t>
      </w:r>
    </w:p>
    <w:p w14:paraId="68869D57" w14:textId="77777777" w:rsidR="004C26E5" w:rsidRDefault="004C26E5" w:rsidP="0079774D">
      <w:pPr>
        <w:spacing w:line="360" w:lineRule="auto"/>
        <w:rPr>
          <w:rFonts w:ascii="Calibri" w:eastAsia="MS Mincho" w:hAnsi="Calibri" w:cs="Calibri"/>
        </w:rPr>
      </w:pPr>
    </w:p>
    <w:p w14:paraId="289DE55E" w14:textId="77777777" w:rsidR="00301C85" w:rsidRPr="00055D66" w:rsidRDefault="00301C85" w:rsidP="00301C85">
      <w:pPr>
        <w:spacing w:line="360" w:lineRule="auto"/>
        <w:rPr>
          <w:rFonts w:ascii="Calibri" w:eastAsia="MS Mincho" w:hAnsi="Calibri" w:cs="Calibri"/>
        </w:rPr>
      </w:pPr>
      <w:r w:rsidRPr="088F2921">
        <w:rPr>
          <w:rFonts w:ascii="Calibri" w:eastAsia="MS Mincho" w:hAnsi="Calibri" w:cs="Calibri"/>
        </w:rPr>
        <w:t xml:space="preserve">For young men involved in organised criminal activities, especially those relating to drug supply, literature highlights </w:t>
      </w:r>
      <w:r>
        <w:rPr>
          <w:rFonts w:ascii="Calibri" w:eastAsia="MS Mincho" w:hAnsi="Calibri" w:cs="Calibri"/>
        </w:rPr>
        <w:t>a particularly vulnerability in terms of the</w:t>
      </w:r>
      <w:r w:rsidRPr="088F2921">
        <w:rPr>
          <w:rFonts w:ascii="Calibri" w:eastAsia="MS Mincho" w:hAnsi="Calibri" w:cs="Calibri"/>
        </w:rPr>
        <w:t xml:space="preserve"> challenges </w:t>
      </w:r>
      <w:r>
        <w:rPr>
          <w:rFonts w:ascii="Calibri" w:eastAsia="MS Mincho" w:hAnsi="Calibri" w:cs="Calibri"/>
        </w:rPr>
        <w:t>they may face in</w:t>
      </w:r>
      <w:r w:rsidRPr="088F2921">
        <w:rPr>
          <w:rFonts w:ascii="Calibri" w:eastAsia="MS Mincho" w:hAnsi="Calibri" w:cs="Calibri"/>
        </w:rPr>
        <w:t xml:space="preserve"> ‘escaping’ the throes of those higher up the chain</w:t>
      </w:r>
      <w:r>
        <w:rPr>
          <w:rFonts w:ascii="Calibri" w:eastAsia="MS Mincho" w:hAnsi="Calibri" w:cs="Calibri"/>
        </w:rPr>
        <w:t>. E</w:t>
      </w:r>
      <w:r w:rsidRPr="088F2921">
        <w:rPr>
          <w:rFonts w:ascii="Calibri" w:eastAsia="MS Mincho" w:hAnsi="Calibri" w:cs="Calibri"/>
        </w:rPr>
        <w:t xml:space="preserve">ven before they are aware of what is happening, </w:t>
      </w:r>
      <w:r>
        <w:rPr>
          <w:rFonts w:ascii="Calibri" w:eastAsia="MS Mincho" w:hAnsi="Calibri" w:cs="Calibri"/>
        </w:rPr>
        <w:t xml:space="preserve">young men involved in drug supply – </w:t>
      </w:r>
      <w:r w:rsidRPr="088F2921">
        <w:rPr>
          <w:rFonts w:ascii="Calibri" w:eastAsia="MS Mincho" w:hAnsi="Calibri" w:cs="Calibri"/>
        </w:rPr>
        <w:t xml:space="preserve">or their loved ones </w:t>
      </w:r>
      <w:r>
        <w:rPr>
          <w:rFonts w:ascii="Calibri" w:eastAsia="MS Mincho" w:hAnsi="Calibri" w:cs="Calibri"/>
        </w:rPr>
        <w:t xml:space="preserve">– </w:t>
      </w:r>
      <w:r w:rsidRPr="088F2921">
        <w:rPr>
          <w:rFonts w:ascii="Calibri" w:eastAsia="MS Mincho" w:hAnsi="Calibri" w:cs="Calibri"/>
        </w:rPr>
        <w:t>are likely to have received ‘gifts’</w:t>
      </w:r>
      <w:r>
        <w:rPr>
          <w:rFonts w:ascii="Calibri" w:eastAsia="MS Mincho" w:hAnsi="Calibri" w:cs="Calibri"/>
        </w:rPr>
        <w:t xml:space="preserve"> from gang leaders,</w:t>
      </w:r>
      <w:r w:rsidRPr="088F2921">
        <w:rPr>
          <w:rFonts w:ascii="Calibri" w:eastAsia="MS Mincho" w:hAnsi="Calibri" w:cs="Calibri"/>
        </w:rPr>
        <w:t xml:space="preserve"> and </w:t>
      </w:r>
      <w:r>
        <w:rPr>
          <w:rFonts w:ascii="Calibri" w:eastAsia="MS Mincho" w:hAnsi="Calibri" w:cs="Calibri"/>
        </w:rPr>
        <w:t>this can constitute accumulation of debt</w:t>
      </w:r>
      <w:r w:rsidRPr="088F2921">
        <w:rPr>
          <w:rFonts w:ascii="Calibri" w:eastAsia="MS Mincho" w:hAnsi="Calibri" w:cs="Calibri"/>
        </w:rPr>
        <w:t xml:space="preserve">. As respondents in the study reported in Thompson (2019) explained, </w:t>
      </w:r>
      <w:r>
        <w:rPr>
          <w:rFonts w:ascii="Calibri" w:eastAsia="MS Mincho" w:hAnsi="Calibri" w:cs="Calibri"/>
        </w:rPr>
        <w:t>such young men</w:t>
      </w:r>
      <w:r w:rsidRPr="088F2921">
        <w:rPr>
          <w:rFonts w:ascii="Calibri" w:eastAsia="MS Mincho" w:hAnsi="Calibri" w:cs="Calibri"/>
        </w:rPr>
        <w:t xml:space="preserve"> </w:t>
      </w:r>
      <w:r>
        <w:rPr>
          <w:rFonts w:ascii="Calibri" w:eastAsia="MS Mincho" w:hAnsi="Calibri" w:cs="Calibri"/>
        </w:rPr>
        <w:t>continue to feel under threat from gang leaders</w:t>
      </w:r>
      <w:r w:rsidRPr="088F2921">
        <w:rPr>
          <w:rFonts w:ascii="Calibri" w:eastAsia="MS Mincho" w:hAnsi="Calibri" w:cs="Calibri"/>
        </w:rPr>
        <w:t>, even if they move out of the local area, such was the power of the exploitative relationship.</w:t>
      </w:r>
    </w:p>
    <w:p w14:paraId="4C750497" w14:textId="77777777" w:rsidR="00301C85" w:rsidRDefault="00301C85" w:rsidP="00301C85">
      <w:pPr>
        <w:spacing w:line="360" w:lineRule="auto"/>
        <w:rPr>
          <w:rFonts w:asciiTheme="majorHAnsi" w:hAnsiTheme="majorHAnsi" w:cstheme="majorHAnsi"/>
        </w:rPr>
      </w:pPr>
    </w:p>
    <w:p w14:paraId="403E039A" w14:textId="28DAA03B" w:rsidR="00301C85" w:rsidRPr="00055D66" w:rsidRDefault="00301C85" w:rsidP="00301C85">
      <w:pPr>
        <w:spacing w:line="360" w:lineRule="auto"/>
        <w:rPr>
          <w:rFonts w:ascii="Calibri" w:eastAsia="MS Mincho" w:hAnsi="Calibri" w:cs="Calibri"/>
        </w:rPr>
      </w:pPr>
      <w:r w:rsidRPr="00323851">
        <w:rPr>
          <w:rFonts w:asciiTheme="majorHAnsi" w:hAnsiTheme="majorHAnsi" w:cstheme="majorHAnsi"/>
        </w:rPr>
        <w:t>A failure to conceptualise young men who are framed as perpetrators of violence as potentially vulnerable – and to account for possible intersections of vulnerability – may mean that the unique needs of the diverse range young men go unaddressed.</w:t>
      </w:r>
      <w:r>
        <w:rPr>
          <w:rFonts w:asciiTheme="majorHAnsi" w:hAnsiTheme="majorHAnsi" w:cstheme="majorHAnsi"/>
        </w:rPr>
        <w:t xml:space="preserve"> </w:t>
      </w:r>
      <w:r w:rsidRPr="46D54B89">
        <w:rPr>
          <w:rFonts w:ascii="Calibri" w:eastAsia="MS Mincho" w:hAnsi="Calibri" w:cs="Calibri"/>
        </w:rPr>
        <w:fldChar w:fldCharType="begin" w:fldLock="1"/>
      </w:r>
      <w:r w:rsidRPr="46D54B89">
        <w:rPr>
          <w:rFonts w:ascii="Calibri" w:eastAsia="MS Mincho" w:hAnsi="Calibri" w:cs="Calibri"/>
        </w:rPr>
        <w:instrText>ADDIN CSL_CITATION {"citationItems":[{"id":"ITEM-1","itemData":{"DOI":"10.1037/men0000064","ISBN":"1524-9220\\r1939-151X","ISSN":"15249220","abstract":"Research suggests a link between masculine norms and drinking behaviors and related consequences; however, the mechanisms of risk are not well understood, particularly with respect to drinking games. The present study helps bridge the masculinity and alcohol use literatures by examining the mechanisms by which certain masculine norms (i.e., winning, risk taking, heterosexual presentation, power over women, and playboy norms) are directly associated with drinking game behaviors and consequences, and indirectly by way of increased motivations to play drinking games for competition reasons, for enhance- ment/thrills, and/or to sexually manipulate others. Participants completed anonymous self-report surveys and consisted of young adult men who were current drinkers and drinking gamers (N?905). Controlling for typical alcohol use on nondrinking game occasions, results indicated that certain masculine norms (i.e., heterosexual presentation, risk taking, and power over women) were directly associated with drinking game behaviors and/or consequences. Consistent with motivational models of alcohol use, conformity to masculine norms was also indirectly related to drinking game behaviors and consequences through their associations with specific drinking game motives. Both power over women and playboy norms were indirectly related to negative drinking game consequences through their positive associations with sexual manipulation motives. In addition, risk taking, winning, and playboy norms were indirectly related to drinking game behaviors and related consequences by way of increased endorsement of enhancement/thrills motives. Finally, risk taking, winning, and power over women were indirectly related to drinking game frequency through their positive associations with competition motives. Implications for intervention and future research are discussed.","author":[{"dropping-particle":"","family":"Zamboanga","given":"Byron L.","non-dropping-particle":"","parse-names":false,"suffix":""},{"dropping-particle":"","family":"Audley","given":"Shannon","non-dropping-particle":"","parse-names":false,"suffix":""},{"dropping-particle":"","family":"Iwamoto","given":"Derek K.","non-dropping-particle":"","parse-names":false,"suffix":""},{"dropping-particle":"","family":"Martin","given":"Jessica L.","non-dropping-particle":"","parse-names":false,"suffix":""},{"dropping-particle":"","family":"Tomaso","given":"Cara C.","non-dropping-particle":"","parse-names":false,"suffix":""}],"container-title":"Psychology of Men and Masculinity","id":"ITEM-1","issue":"4","issued":{"date-parts":[["2017"]]},"page":"280-292","title":"The risks of being \"Manly\": Masculine norms and drinking game motives, behaviors, and related consequences among men","type":"article-journal","volume":"18"},"uris":["http://www.mendeley.com/documents/?uuid=83990915-1919-4717-af6b-7185442c2603"]}],"mendeley":{"formattedCitation":"(Zamboanga &lt;i&gt;et al.&lt;/i&gt;, 2017)","plainTextFormattedCitation":"(Zamboanga et al., 2017)","previouslyFormattedCitation":"(Zamboanga &lt;i&gt;et al.&lt;/i&gt;, 2017)"},"properties":{"noteIndex":0},"schema":"https://github.com/citation-style-language/schema/raw/master/csl-citation.json"}</w:instrText>
      </w:r>
      <w:r w:rsidRPr="46D54B89">
        <w:rPr>
          <w:rFonts w:ascii="Calibri" w:eastAsia="MS Mincho" w:hAnsi="Calibri" w:cs="Calibri"/>
        </w:rPr>
        <w:fldChar w:fldCharType="end"/>
      </w:r>
      <w:r w:rsidRPr="088F2921">
        <w:rPr>
          <w:rFonts w:ascii="Calibri" w:eastAsia="MS Mincho" w:hAnsi="Calibri" w:cs="Calibri"/>
        </w:rPr>
        <w:t xml:space="preserve">It is important to acknowledge </w:t>
      </w:r>
      <w:r>
        <w:rPr>
          <w:rFonts w:ascii="Calibri" w:eastAsia="MS Mincho" w:hAnsi="Calibri" w:cs="Calibri"/>
        </w:rPr>
        <w:t xml:space="preserve">the </w:t>
      </w:r>
      <w:r w:rsidRPr="088F2921">
        <w:rPr>
          <w:rFonts w:ascii="Calibri" w:eastAsia="MS Mincho" w:hAnsi="Calibri" w:cs="Calibri"/>
        </w:rPr>
        <w:t xml:space="preserve">discursive framing of ‘problem behaviour’ in any work around improving interventions with young people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{"citationItems":[{"id":"ITEM-1","itemData":{"DOI":"10.1136/ard.2005.041137","abstract":"Final report to ESRC on project.","author":[{"dropping-particle":"","family":"MacLure","given":"M","non-dropping-particle":"","parse-names":false,"suffix":""},{"dropping-particle":"","family":"Jones","given":"L","non-dropping-particle":"","parse-names":false,"suffix":""},{"dropping-particle":"","family":"Holmes","given":"R","non-dropping-particle":"","parse-names":false,"suffix":""},{"dropping-particle":"","family":"MacRae","given":"C","non-dropping-particle":"","parse-names":false,"suffix":""}],"id":"ITEM-1","issued":{"date-parts":[["2008"]]},"number-of-pages":"1-21","title":"Becoming a problem: how and why children acquire a reputation as ‘naughty’in the earliest years at school","type":"report"},"uris":["http://www.mendeley.com/documents/?uuid=8470df9a-73ed-4e5d-8d23-5e7e4b9bb1ad"]}],"mendeley":{"formattedCitation":"(MacLure &lt;i&gt;et al.&lt;/i&gt;, 2008)","plainTextFormattedCitation":"(MacLure et al., 2008)","previouslyFormattedCitation":"(MacLure &lt;i&gt;et al.&lt;/i&gt;, 2008)"},"properties":{"noteIndex":0},"schema":"https://github.com/citation-style-language/schema/raw/master/csl-citation.json"}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(MacLure </w:t>
      </w:r>
      <w:r w:rsidR="0080697E" w:rsidRPr="0080697E">
        <w:rPr>
          <w:rFonts w:ascii="Calibri" w:eastAsia="MS Mincho" w:hAnsi="Calibri" w:cs="Calibri"/>
          <w:i/>
          <w:iCs/>
          <w:noProof/>
        </w:rPr>
        <w:t>et al</w:t>
      </w:r>
      <w:r w:rsidR="0080697E">
        <w:rPr>
          <w:rFonts w:ascii="Calibri" w:eastAsia="MS Mincho" w:hAnsi="Calibri" w:cs="Calibri"/>
          <w:noProof/>
        </w:rPr>
        <w:t>.,</w:t>
      </w:r>
      <w:r w:rsidRPr="088F2921">
        <w:rPr>
          <w:rFonts w:ascii="Calibri" w:eastAsia="MS Mincho" w:hAnsi="Calibri" w:cs="Calibri"/>
          <w:noProof/>
        </w:rPr>
        <w:t xml:space="preserve"> 2008)</w:t>
      </w:r>
      <w:r w:rsidRPr="088F2921">
        <w:rPr>
          <w:rFonts w:ascii="Calibri" w:eastAsia="MS Mincho" w:hAnsi="Calibri" w:cs="Calibri"/>
        </w:rPr>
        <w:fldChar w:fldCharType="end"/>
      </w:r>
      <w:r w:rsidRPr="088F2921">
        <w:rPr>
          <w:rFonts w:ascii="Calibri" w:eastAsia="MS Mincho" w:hAnsi="Calibri" w:cs="Calibri"/>
        </w:rPr>
        <w:t xml:space="preserve">. For example, young people or children who fail to act, or </w:t>
      </w:r>
      <w:r w:rsidRPr="088F2921">
        <w:rPr>
          <w:rFonts w:ascii="Calibri" w:eastAsia="MS Mincho" w:hAnsi="Calibri" w:cs="Calibri"/>
        </w:rPr>
        <w:lastRenderedPageBreak/>
        <w:t>to be recognised as acting, in accordance with ‘</w:t>
      </w:r>
      <w:r w:rsidR="0080697E">
        <w:rPr>
          <w:rFonts w:ascii="Calibri" w:eastAsia="MS Mincho" w:hAnsi="Calibri" w:cs="Calibri"/>
        </w:rPr>
        <w:t>expected</w:t>
      </w:r>
      <w:r w:rsidR="0080697E" w:rsidRPr="088F2921">
        <w:rPr>
          <w:rFonts w:ascii="Calibri" w:eastAsia="MS Mincho" w:hAnsi="Calibri" w:cs="Calibri"/>
        </w:rPr>
        <w:t xml:space="preserve"> </w:t>
      </w:r>
      <w:r w:rsidRPr="088F2921">
        <w:rPr>
          <w:rFonts w:ascii="Calibri" w:eastAsia="MS Mincho" w:hAnsi="Calibri" w:cs="Calibri"/>
        </w:rPr>
        <w:t>developmental course</w:t>
      </w:r>
      <w:proofErr w:type="gramStart"/>
      <w:r w:rsidRPr="088F2921">
        <w:rPr>
          <w:rFonts w:ascii="Calibri" w:eastAsia="MS Mincho" w:hAnsi="Calibri" w:cs="Calibri"/>
        </w:rPr>
        <w:t>’  are</w:t>
      </w:r>
      <w:proofErr w:type="gramEnd"/>
      <w:r w:rsidRPr="088F2921">
        <w:rPr>
          <w:rFonts w:ascii="Calibri" w:eastAsia="MS Mincho" w:hAnsi="Calibri" w:cs="Calibri"/>
        </w:rPr>
        <w:t xml:space="preserve"> at risk of being judged </w:t>
      </w:r>
      <w:r>
        <w:rPr>
          <w:rFonts w:ascii="Calibri" w:eastAsia="MS Mincho" w:hAnsi="Calibri" w:cs="Calibri"/>
        </w:rPr>
        <w:t>‘</w:t>
      </w:r>
      <w:r w:rsidRPr="088F2921">
        <w:rPr>
          <w:rFonts w:ascii="Calibri" w:eastAsia="MS Mincho" w:hAnsi="Calibri" w:cs="Calibri"/>
        </w:rPr>
        <w:t>a problem</w:t>
      </w:r>
      <w:r>
        <w:rPr>
          <w:rFonts w:ascii="Calibri" w:eastAsia="MS Mincho" w:hAnsi="Calibri" w:cs="Calibri"/>
        </w:rPr>
        <w:t>’</w:t>
      </w:r>
      <w:r w:rsidRPr="088F2921">
        <w:rPr>
          <w:rFonts w:ascii="Calibri" w:eastAsia="MS Mincho" w:hAnsi="Calibri" w:cs="Calibri"/>
        </w:rPr>
        <w:t xml:space="preserve">. Acquiring a strong ‘reputation’ in relation to behaviours can become a self-perpetuating process, and young people may therefore find it harder to behave differently, or ‘to be recognised as good’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{"citationItems":[{"id":"ITEM-1","itemData":{"DOI":"10.1136/ard.2005.041137","abstract":"Final report to ESRC on project.","author":[{"dropping-particle":"","family":"MacLure","given":"M","non-dropping-particle":"","parse-names":false,"suffix":""},{"dropping-particle":"","family":"Jones","given":"L","non-dropping-particle":"","parse-names":false,"suffix":""},{"dropping-particle":"","family":"Holmes","given":"R","non-dropping-particle":"","parse-names":false,"suffix":""},{"dropping-particle":"","family":"MacRae","given":"C","non-dropping-particle":"","parse-names":false,"suffix":""}],"id":"ITEM-1","issued":{"date-parts":[["2008"]]},"number-of-pages":"1-21","title":"Becoming a problem: how and why children acquire a reputation as ‘naughty’in the earliest years at school","type":"report"},"locator":"4","uris":["http://www.mendeley.com/documents/?uuid=8470df9a-73ed-4e5d-8d23-5e7e4b9bb1ad"]}],"mendeley":{"formattedCitation":"(MacLure &lt;i&gt;et al.&lt;/i&gt;, 2008, p. 4)","plainTextFormattedCitation":"(MacLure et al., 2008, p. 4)","previouslyFormattedCitation":"(MacLure &lt;i&gt;et al.&lt;/i&gt;, 2008, p. 4)"},"properties":{"noteIndex":0},"schema":"https://github.com/citation-style-language/schema/raw/master/csl-citation.json"}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(MacLure </w:t>
      </w:r>
      <w:r w:rsidR="0080697E" w:rsidRPr="0080697E">
        <w:rPr>
          <w:rFonts w:ascii="Calibri" w:eastAsia="MS Mincho" w:hAnsi="Calibri" w:cs="Calibri"/>
          <w:i/>
          <w:iCs/>
          <w:noProof/>
        </w:rPr>
        <w:t>et al</w:t>
      </w:r>
      <w:r w:rsidR="0080697E">
        <w:rPr>
          <w:rFonts w:ascii="Calibri" w:eastAsia="MS Mincho" w:hAnsi="Calibri" w:cs="Calibri"/>
          <w:noProof/>
        </w:rPr>
        <w:t>.,</w:t>
      </w:r>
      <w:r w:rsidRPr="088F2921">
        <w:rPr>
          <w:rFonts w:ascii="Calibri" w:eastAsia="MS Mincho" w:hAnsi="Calibri" w:cs="Calibri"/>
          <w:noProof/>
        </w:rPr>
        <w:t xml:space="preserve"> 2008, p.4)</w:t>
      </w:r>
      <w:r w:rsidRPr="088F2921">
        <w:rPr>
          <w:rFonts w:ascii="Calibri" w:eastAsia="MS Mincho" w:hAnsi="Calibri" w:cs="Calibri"/>
        </w:rPr>
        <w:fldChar w:fldCharType="end"/>
      </w:r>
      <w:r w:rsidRPr="088F2921">
        <w:rPr>
          <w:rFonts w:ascii="Calibri" w:eastAsia="MS Mincho" w:hAnsi="Calibri" w:cs="Calibri"/>
        </w:rPr>
        <w:t>.</w:t>
      </w:r>
      <w:r>
        <w:rPr>
          <w:rFonts w:ascii="Calibri" w:eastAsia="MS Mincho" w:hAnsi="Calibri" w:cs="Calibri"/>
        </w:rPr>
        <w:t xml:space="preserve"> Ironically, a conceptualising these young men as problematic rather than vulnerable may contribute to their vulnerability. </w:t>
      </w:r>
    </w:p>
    <w:p w14:paraId="031711B3" w14:textId="77777777" w:rsidR="00C66173" w:rsidRPr="00055D66" w:rsidRDefault="00C66173" w:rsidP="0079774D">
      <w:pPr>
        <w:spacing w:line="360" w:lineRule="auto"/>
        <w:rPr>
          <w:rFonts w:ascii="Calibri" w:eastAsia="MS Mincho" w:hAnsi="Calibri" w:cs="Calibri"/>
        </w:rPr>
      </w:pPr>
    </w:p>
    <w:p w14:paraId="5F20E357" w14:textId="18423FB3" w:rsidR="0079774D" w:rsidRPr="0022354F" w:rsidRDefault="0079774D" w:rsidP="0079774D">
      <w:pPr>
        <w:spacing w:line="360" w:lineRule="auto"/>
        <w:rPr>
          <w:rFonts w:ascii="Calibri" w:eastAsia="MS Mincho" w:hAnsi="Calibri" w:cs="Calibri"/>
          <w:i/>
          <w:iCs/>
        </w:rPr>
      </w:pPr>
      <w:r w:rsidRPr="00A14F5C">
        <w:rPr>
          <w:rFonts w:ascii="Calibri" w:eastAsia="MS Mincho" w:hAnsi="Calibri" w:cs="Calibri"/>
          <w:i/>
          <w:iCs/>
        </w:rPr>
        <w:t>2.2.</w:t>
      </w:r>
      <w:r w:rsidR="00114D69">
        <w:rPr>
          <w:rFonts w:ascii="Calibri" w:eastAsia="MS Mincho" w:hAnsi="Calibri" w:cs="Calibri"/>
          <w:i/>
          <w:iCs/>
        </w:rPr>
        <w:t>4</w:t>
      </w:r>
      <w:r w:rsidRPr="00A14F5C">
        <w:rPr>
          <w:rFonts w:ascii="Calibri" w:eastAsia="MS Mincho" w:hAnsi="Calibri" w:cs="Calibri"/>
          <w:i/>
          <w:iCs/>
        </w:rPr>
        <w:t xml:space="preserve"> Sexual practices and sexual health</w:t>
      </w:r>
    </w:p>
    <w:p w14:paraId="0BBE6F6E" w14:textId="6641C355"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Much of the literature yielded in searches about young men and risk, related directly to sexual practices and sexual health.  A report by the South African Sonke Gender Justice Network 2012 positions sexual and reproductive health (SRH) as not just a women’s issue. The report draws on research that consistently shows that not only are men are keen to be more involved  but that ‘engaging and educating men around their own sexual and reproductive health is imperative in preventing STIs (including HIV), preventing unwanted pregnancies, and reducing the burden of these issues on women’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Pascoe","given":"Laura","non-dropping-particle":"","parse-names":false,"suffix":""},{"dropping-particle":"","family":"Herstad","given":"Maja","non-dropping-particle":"","parse-names":false,"suffix":""},{"dropping-particle":"","family":"Shand","given":"Tim","non-dropping-particle":"","parse-names":false,"suffix":""},{"dropping-particle":"","family":"Heever","given":"Lucinda","non-dropping-particle":"van den","parse-names":false,"suffix":""}],"id":"ITEM-1","issued":{"date-parts":[["2012"]]},"page":"32","title":"Building Male Involvement in SRHR: A basic model for Male Involvement in Sexual and Reproductive Health and Rights","type":"article-journal"},"locator":"5","uris":["http://www.mendeley.com/documents/?uuid=12c489b8-e6b6-4b1c-b32b-89657b27f832"]}],"mendeley":{"formattedCitation":"(Pascoe &lt;i&gt;et al.&lt;/i&gt;, 2012, p. 5)","plainTextFormattedCitation":"(Pascoe et al., 2012, p. 5)","previouslyFormattedCitation":"(Pascoe &lt;i&gt;et al.&lt;/i&gt;, 2012, p. 5)"},"properties":{"noteIndex":0},"schema":"https://github.com/citation-style-language/schema/raw/master/csl-citation.json"}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(Pascoe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88F2921">
        <w:rPr>
          <w:rFonts w:ascii="Calibri" w:eastAsia="MS Mincho" w:hAnsi="Calibri" w:cs="Calibri"/>
          <w:noProof/>
        </w:rPr>
        <w:t>2012, p. 5)</w:t>
      </w:r>
      <w:r w:rsidRPr="088F2921">
        <w:rPr>
          <w:rFonts w:ascii="Calibri" w:eastAsia="MS Mincho" w:hAnsi="Calibri" w:cs="Calibri"/>
        </w:rPr>
        <w:fldChar w:fldCharType="end"/>
      </w:r>
      <w:r w:rsidRPr="088F2921">
        <w:rPr>
          <w:rFonts w:ascii="Calibri" w:eastAsia="MS Mincho" w:hAnsi="Calibri" w:cs="Calibri"/>
        </w:rPr>
        <w:t>.  A comparative study in UK and Australia entitled ‘Pubs and Bubs’ (Miller and Nash 2017) looks</w:t>
      </w:r>
      <w:r w:rsidR="00C66173">
        <w:rPr>
          <w:rFonts w:ascii="Calibri" w:eastAsia="MS Mincho" w:hAnsi="Calibri" w:cs="Calibri"/>
        </w:rPr>
        <w:t xml:space="preserve"> at </w:t>
      </w:r>
      <w:r w:rsidRPr="088F2921">
        <w:rPr>
          <w:rFonts w:ascii="Calibri" w:eastAsia="MS Mincho" w:hAnsi="Calibri" w:cs="Calibri"/>
        </w:rPr>
        <w:t xml:space="preserve">men’s in-depth accounts of preparing for first-time fatherhood. Although discussion around feelings and emotions were found to be encouraged, this was also at odds with how ‘blokey blokes’ behave. The study found a sense of uncertainty, regardless of whether fatherhood was planned. This uncertainty was associated with a lack of control and change which ‘sat uneasily in lives where control can be a feature of masculinist expectations and practices’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{"citationItems":[{"id":"ITEM-1","itemData":{"DOI":"10.1177/1440783316667638","ISBN":"1440783316667","ISSN":"17412978","abstract":"© 2016, © The Author(s) 2016. Increasingly in international research and popular media a growing interest in men and fatherhood is discernible. These changes occur as other aspects of the socio-economic world shift, necessitating the need to re-address how caring and paid work responsibilities are configured and practised. However, interest in men’s experiences as fathers has emerged in ways which reflect cultural assumptions and practices associated with dominant understandings of masculinities. Consequently, research on and evidence of changing behaviours has been culturally and geographically uneven. In this paper, two qualitative studies are drawn upon to examine how men living in Australia and the UK engage in/narrate experiences of preparation for first-time fatherhood. These studies compare men’s in-depth accounts of preparing for first-time fatherhood in cultures where understandings of masculinities overlap, but where differences are also discernible. The findings illuminate the ways in which biology, gender, temporality and histories of masculinities frame men’s preparation activities and service provision.","author":[{"dropping-particle":"","family":"Miller","given":"Tina","non-dropping-particle":"","parse-names":false,"suffix":""},{"dropping-particle":"","family":"Nash","given":"Meredith","non-dropping-particle":"","parse-names":false,"suffix":""}],"container-title":"Journal of Sociology","id":"ITEM-1","issue":"3","issued":{"date-parts":[["2017"]]},"page":"541-556","title":"‘I just think something like the “Bubs and Pubs” class is what men should be having’: Paternal subjectivities and preparing for first-time fatherhood in Australia and the United Kingdom","type":"article-journal","volume":"53"},"locator":"548","uris":["http://www.mendeley.com/documents/?uuid=3c00951c-38d3-4b7b-8c2c-5ec9c584effb"]}],"mendeley":{"formattedCitation":"(Miller and Nash, 2017, p. 548)","plainTextFormattedCitation":"(Miller and Nash, 2017, p. 548)","previouslyFormattedCitation":"(Miller and Nash, 2017, p. 548)"},"properties":{"noteIndex":0},"schema":"https://github.com/citation-style-language/schema/raw/master/csl-citation.json"}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(Miller and Nash, 2017, p. 548)</w:t>
      </w:r>
      <w:r w:rsidRPr="088F2921">
        <w:rPr>
          <w:rFonts w:ascii="Calibri" w:eastAsia="MS Mincho" w:hAnsi="Calibri" w:cs="Calibri"/>
        </w:rPr>
        <w:fldChar w:fldCharType="end"/>
      </w:r>
      <w:r w:rsidRPr="088F2921">
        <w:rPr>
          <w:rFonts w:ascii="Calibri" w:eastAsia="MS Mincho" w:hAnsi="Calibri" w:cs="Calibri"/>
        </w:rPr>
        <w:t>. Both British and Australian men preferred to have an ‘expert’, provide them with information rather than to seek it out themselves.</w:t>
      </w:r>
    </w:p>
    <w:p w14:paraId="23C574E0" w14:textId="77777777" w:rsidR="0079774D" w:rsidRPr="00055D66" w:rsidRDefault="0079774D" w:rsidP="0079774D">
      <w:pPr>
        <w:spacing w:line="360" w:lineRule="auto"/>
        <w:rPr>
          <w:rFonts w:ascii="Calibri" w:eastAsia="MS Mincho" w:hAnsi="Calibri" w:cs="Calibri"/>
        </w:rPr>
      </w:pPr>
    </w:p>
    <w:p w14:paraId="69218BC4" w14:textId="375BFFE9" w:rsidR="0079774D" w:rsidRPr="00055D66" w:rsidRDefault="0079774D" w:rsidP="0079774D">
      <w:pPr>
        <w:spacing w:line="360" w:lineRule="auto"/>
        <w:rPr>
          <w:rFonts w:ascii="Calibri" w:hAnsi="Calibri" w:cs="Calibri"/>
          <w:u w:val="single"/>
        </w:rPr>
      </w:pPr>
      <w:r w:rsidRPr="00055D66">
        <w:rPr>
          <w:rFonts w:ascii="Calibri" w:eastAsia="MS Mincho" w:hAnsi="Calibri" w:cs="Calibri"/>
        </w:rPr>
        <w:t xml:space="preserve">The era of 1980s is considered a milestone in relation to perceptions of male sexuality and interventions into HIV/AIDS infection. Condom provision and education around abstinence were responses to the risks of infection at that time. Knowledge around effective interventions has developed, and information provision and education are not regarded as the foundations for </w:t>
      </w:r>
      <w:r w:rsidRPr="00055D66">
        <w:rPr>
          <w:rFonts w:ascii="Calibri" w:eastAsia="MS Mincho" w:hAnsi="Calibri" w:cs="Calibri"/>
        </w:rPr>
        <w:lastRenderedPageBreak/>
        <w:t>behaviour change. The literature identifies rebellions against traditional HIV</w:t>
      </w:r>
      <w:r>
        <w:rPr>
          <w:rFonts w:ascii="Calibri" w:eastAsia="MS Mincho" w:hAnsi="Calibri" w:cs="Calibri"/>
        </w:rPr>
        <w:t>/AIDS</w:t>
      </w:r>
      <w:r w:rsidRPr="00055D66">
        <w:rPr>
          <w:rFonts w:ascii="Calibri" w:eastAsia="MS Mincho" w:hAnsi="Calibri" w:cs="Calibri"/>
        </w:rPr>
        <w:t xml:space="preserve"> prevention discourses. Unsafe sex can be a symbolic act of ‘tran</w:t>
      </w:r>
      <w:r w:rsidR="00301C85">
        <w:rPr>
          <w:rFonts w:ascii="Calibri" w:eastAsia="MS Mincho" w:hAnsi="Calibri" w:cs="Calibri"/>
        </w:rPr>
        <w:t>s</w:t>
      </w:r>
      <w:r w:rsidRPr="00055D66">
        <w:rPr>
          <w:rFonts w:ascii="Calibri" w:eastAsia="MS Mincho" w:hAnsi="Calibri" w:cs="Calibri"/>
        </w:rPr>
        <w:t xml:space="preserve">gression’; a rebellion to ‘embody resistance to cultural norms’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{"citationItems":[{"id":"ITEM-1","itemData":{"author":[{"dropping-particle":"","family":"Crossley","given":"M L","non-dropping-particle":"","parse-names":false,"suffix":""}],"container-title":"British Journal of Social Psychology","id":"ITEM-1","issue":"2","issued":{"date-parts":[["2004"]]},"page":"225-244","title":"Making sense of \"barebacking\": Gay men's narrative, unsafe sex and the \"resistance habitus\"","type":"article-journal","volume":"43"},"uris":["http://www.mendeley.com/documents/?uuid=448030e5-844e-457c-a203-239a9e16501a"]}],"mendeley":{"formattedCitation":"(Crossley, 2004)","plainTextFormattedCitation":"(Crossley, 2004)","previouslyFormattedCitation":"(Crossley, 2004)"},"properties":{"noteIndex":0},"schema":"https://github.com/citation-style-language/schema/raw/master/csl-citation.json"}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(Crossley, 2004)</w:t>
      </w:r>
      <w:r w:rsidRPr="00055D66">
        <w:rPr>
          <w:rFonts w:ascii="Calibri" w:eastAsia="MS Mincho" w:hAnsi="Calibri" w:cs="Calibri"/>
        </w:rPr>
        <w:fldChar w:fldCharType="end"/>
      </w:r>
      <w:r w:rsidRPr="00055D66">
        <w:rPr>
          <w:rFonts w:ascii="Calibri" w:eastAsia="MS Mincho" w:hAnsi="Calibri" w:cs="Calibri"/>
        </w:rPr>
        <w:t xml:space="preserve">. This includes masculine ‘sexual scripts’, where men are expected to take active roles, ‘seeking sex for adventure’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{"citationItems":[{"id":"ITEM-1","itemData":{"DOI":"10.1023/a:1013055318185","ISBN":"1566-1768, 1566-1768","abstract":"Rates of unprotected anal intercourse &amp; HIV infection are alarmingly high among young gay males. This second wave of infection indicates that traditional models for AIDS education are not working. AIDS educators need to rethink HIV-prevention efforts. Studies consistently find a high level of knowledge about HIV transmission &amp; high levels of commitment to safer sex among gay males, but what accounts for the breakdown between safer sex intentions &amp; practices among them? This article employs social constructionist &amp; queer theoretical assertions that sexuality is socially &amp; culturally produced in complicated &amp; pluralist ways. The analysis examines how risky sexual situations shape young gay males' sexualities by exploring two examples selected to represent, alternatively, models of safer sexual &amp; unsafe sexual trajectories. Implications for HIV prevention practices &amp; policies are discussed. 58 References. Adapted from the source document.","author":[{"dropping-particle":"","family":"Mutchler","given":"Matt G","non-dropping-particle":"","parse-names":false,"suffix":""}],"container-title":"International Journal of Sexuality and Gender Studies","id":"ITEM-1","issue":"1","issued":{"date-parts":[["2002"]]},"page":"23-38","title":"Will It Be Silence and Violence or Safety and Prevention for the Next Generation of Gay Youth?","type":"article-journal","volume":"7"},"locator":"31","uris":["http://www.mendeley.com/documents/?uuid=a7e5bb6d-9708-474a-a021-495ba9f706b5"]}],"mendeley":{"formattedCitation":"(Mutchler, 2002, p. 31)","plainTextFormattedCitation":"(Mutchler, 2002, p. 31)","previouslyFormattedCitation":"(Mutchler, 2002, p. 31)"},"properties":{"noteIndex":0},"schema":"https://github.com/citation-style-language/schema/raw/master/csl-citation.json"}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(Mutchler, 2002, p.31)</w:t>
      </w:r>
      <w:r w:rsidRPr="00055D66">
        <w:rPr>
          <w:rFonts w:ascii="Calibri" w:eastAsia="MS Mincho" w:hAnsi="Calibri" w:cs="Calibri"/>
        </w:rPr>
        <w:fldChar w:fldCharType="end"/>
      </w:r>
      <w:r w:rsidRPr="00055D66">
        <w:rPr>
          <w:rFonts w:ascii="Calibri" w:eastAsia="MS Mincho" w:hAnsi="Calibri" w:cs="Calibri"/>
        </w:rPr>
        <w:t xml:space="preserve">. There is stigma attached to being passive and un-masculine. </w:t>
      </w:r>
    </w:p>
    <w:p w14:paraId="46FBC89A" w14:textId="77777777" w:rsidR="0079774D" w:rsidRPr="00055D66" w:rsidRDefault="0079774D" w:rsidP="0079774D">
      <w:pPr>
        <w:spacing w:line="360" w:lineRule="auto"/>
        <w:rPr>
          <w:rFonts w:ascii="Calibri" w:eastAsia="MS Mincho" w:hAnsi="Calibri" w:cs="Calibri"/>
        </w:rPr>
      </w:pPr>
    </w:p>
    <w:p w14:paraId="444B9316" w14:textId="1BA1A6A4" w:rsidR="0079774D" w:rsidRPr="0022354F" w:rsidRDefault="0079774D" w:rsidP="0079774D">
      <w:pPr>
        <w:spacing w:line="360" w:lineRule="auto"/>
        <w:rPr>
          <w:rFonts w:ascii="Calibri" w:eastAsia="MS Mincho" w:hAnsi="Calibri" w:cs="Calibri"/>
          <w:i/>
          <w:iCs/>
        </w:rPr>
      </w:pPr>
      <w:r w:rsidRPr="0022354F">
        <w:rPr>
          <w:rFonts w:ascii="Calibri" w:eastAsia="MS Mincho" w:hAnsi="Calibri" w:cs="Calibri"/>
          <w:i/>
          <w:iCs/>
        </w:rPr>
        <w:t>2.2.</w:t>
      </w:r>
      <w:r w:rsidR="00114D69">
        <w:rPr>
          <w:rFonts w:ascii="Calibri" w:eastAsia="MS Mincho" w:hAnsi="Calibri" w:cs="Calibri"/>
          <w:i/>
          <w:iCs/>
        </w:rPr>
        <w:t>5</w:t>
      </w:r>
      <w:r w:rsidRPr="0022354F">
        <w:rPr>
          <w:rFonts w:ascii="Calibri" w:eastAsia="MS Mincho" w:hAnsi="Calibri" w:cs="Calibri"/>
          <w:i/>
          <w:iCs/>
        </w:rPr>
        <w:t xml:space="preserve"> Education </w:t>
      </w:r>
    </w:p>
    <w:p w14:paraId="22569659" w14:textId="14E85EA7"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Class and gender are significant in terms of the ‘psychic labour’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095402502200001069","author":[{"dropping-particle":"","family":"Reay","given":"Diane","non-dropping-particle":"","parse-names":false,"suffix":""}],"id":"ITEM-1","issue":"3","issued":{"date-parts":[["2010"]]},"page":"37-41","title":"Gender and Education Shaun ' s Story : Troubling discourses of white working- class masculinities Shaun ’ s Story : troubling discourses of white working-class masculinities","type":"article-journal","volume":"14"},"uris":["http://www.mendeley.com/documents/?uuid=4d2204d8-06d0-4038-974d-ec7d28ebe368"]}],"mendeley":{"formattedCitation":"(Reay, 2010)","plainTextFormattedCitation":"(Reay, 2010)","previouslyFormattedCitation":"(Reay, 2010)"},"properties":{"noteIndex":0},"schema":"https://github.com/citation-style-language/schema/raw/master/csl-citation.json"}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(Reay, 2010)</w:t>
      </w:r>
      <w:r w:rsidRPr="088F2921">
        <w:rPr>
          <w:rFonts w:ascii="Calibri" w:eastAsia="MS Mincho" w:hAnsi="Calibri" w:cs="Calibri"/>
        </w:rPr>
        <w:fldChar w:fldCharType="end"/>
      </w:r>
      <w:r w:rsidRPr="088F2921">
        <w:rPr>
          <w:rFonts w:ascii="Calibri" w:eastAsia="MS Mincho" w:hAnsi="Calibri" w:cs="Calibri"/>
        </w:rPr>
        <w:t xml:space="preserve"> involved in the educational experiences of young working</w:t>
      </w:r>
      <w:r w:rsidR="0454E874" w:rsidRPr="088F2921">
        <w:rPr>
          <w:rFonts w:ascii="Calibri" w:eastAsia="MS Mincho" w:hAnsi="Calibri" w:cs="Calibri"/>
        </w:rPr>
        <w:t>-</w:t>
      </w:r>
      <w:r w:rsidRPr="088F2921">
        <w:rPr>
          <w:rFonts w:ascii="Calibri" w:eastAsia="MS Mincho" w:hAnsi="Calibri" w:cs="Calibri"/>
        </w:rPr>
        <w:t xml:space="preserve">class male. Maintaining the ‘untenable space’ of achieving academically whilst being socially accepted by peers involves a ‘dual perception of self’ (Bourdieu, 1999 in Reay, 2010). These struggles are often highlighted in serious case reviews where descriptions of young men trying to progress but also fit in is an impossible and exhausting contradiction.  </w:t>
      </w:r>
    </w:p>
    <w:p w14:paraId="6ED2A8A0" w14:textId="77777777" w:rsidR="0079774D" w:rsidRPr="00055D66" w:rsidRDefault="0079774D" w:rsidP="0079774D">
      <w:pPr>
        <w:spacing w:line="360" w:lineRule="auto"/>
        <w:rPr>
          <w:rFonts w:ascii="Calibri" w:eastAsia="MS Mincho" w:hAnsi="Calibri" w:cs="Calibri"/>
        </w:rPr>
      </w:pPr>
    </w:p>
    <w:p w14:paraId="229BE93A"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Drawing upon research from a five year longitudinal study and previous studies carried out by the Centre for Young Men’s Studies, the Harland and McCready’s (2014) article highlights the importance of a </w:t>
      </w:r>
      <w:r>
        <w:rPr>
          <w:rFonts w:ascii="Calibri" w:eastAsia="MS Mincho" w:hAnsi="Calibri" w:cs="Calibri"/>
        </w:rPr>
        <w:t>b</w:t>
      </w:r>
      <w:r w:rsidRPr="00055D66">
        <w:rPr>
          <w:rFonts w:ascii="Calibri" w:eastAsia="MS Mincho" w:hAnsi="Calibri" w:cs="Calibri"/>
        </w:rPr>
        <w:t xml:space="preserve">alanced </w:t>
      </w:r>
      <w:r>
        <w:rPr>
          <w:rFonts w:ascii="Calibri" w:eastAsia="MS Mincho" w:hAnsi="Calibri" w:cs="Calibri"/>
        </w:rPr>
        <w:t>a</w:t>
      </w:r>
      <w:r w:rsidRPr="00055D66">
        <w:rPr>
          <w:rFonts w:ascii="Calibri" w:eastAsia="MS Mincho" w:hAnsi="Calibri" w:cs="Calibri"/>
        </w:rPr>
        <w:t xml:space="preserve">pproach of collaborative working between formal, informal and non-formal education; that brings together ‘the need for a more relevant school curriculum informed by, and aimed specifically at, engaging young men through a youth work methodology addressing the themes of youth justice, violence and masculinity’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{"citationItems":[{"id":"ITEM-1","itemData":{"DOI":"10.1177/1473225414549696","ISSN":"17476283","abstract":"Statistics reveal that young men from working class communities are over-represented amongst victims of the Northern Ireland Troubles, suicides, crime, school suspensions, expulsions and academic underachievement. Despite a new political context of peacebuilding the relationship between violence and personal safety continues to be critical to marginalized young men’s everyday lives and experiences. Drawing upon primary research from a five year longitudinal study and previous studies carried out by the Centre for Young Men’s Studies, this article provides a critical analysis of young men born after the 1994 ceasefires, capturing their sense of alienation, perceived normality of violence, unwelcomed interactions with paramilitary members and restrictive notions of masculinity. These factors combined with attitudes of suspicion and distrust surrounding the role of the police leaves young men feeling confused about law and youth justice. This article argues the need for a more relevant school curriculum informed by, and aimed specifically at, engaging young men through a youth work methodology addressing the themes of youth justice, violence and masculinity. The authors acknowledge that whilst addressing the behaviour of certain young men can be very challenging, there is a need for those working with young men to more proactively engage young men through a ‘Balanced Approach’ of collaborative working between formal, informal and non-formal education.","author":[{"dropping-particle":"","family":"Harland","given":"Ken","non-dropping-particle":"","parse-names":false,"suffix":""},{"dropping-particle":"","family":"McCready","given":"Sam","non-dropping-particle":"","parse-names":false,"suffix":""}],"container-title":"Youth Justice","id":"ITEM-1","issue":"3","issued":{"date-parts":[["2014"]]},"page":"269-283","title":"Rough Justice: Considerations on the Role of Violence, Masculinity, and the Alienation of Young Men in Communities and Peacebuilding Processes in Northern Ireland","type":"article-journal","volume":"14"},"locator":"271","uris":["http://www.mendeley.com/documents/?uuid=5370e693-4095-42b4-a1dd-305548fa224b"]}],"mendeley":{"formattedCitation":"(Harland and McCready, 2014, p. 271)","plainTextFormattedCitation":"(Harland and McCready, 2014, p. 271)","previouslyFormattedCitation":"(Harland and McCready, 2014, p. 271)"},"properties":{"noteIndex":0},"schema":"https://github.com/citation-style-language/schema/raw/master/csl-citation.json"}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(Harland and McCready, 2014, p.271)</w:t>
      </w:r>
      <w:r w:rsidRPr="00055D66">
        <w:rPr>
          <w:rFonts w:ascii="Calibri" w:eastAsia="MS Mincho" w:hAnsi="Calibri" w:cs="Calibri"/>
        </w:rPr>
        <w:fldChar w:fldCharType="end"/>
      </w:r>
      <w:r w:rsidRPr="00055D66">
        <w:rPr>
          <w:rFonts w:ascii="Calibri" w:eastAsia="MS Mincho" w:hAnsi="Calibri" w:cs="Calibri"/>
        </w:rPr>
        <w:t>.</w:t>
      </w:r>
    </w:p>
    <w:p w14:paraId="524F2D83" w14:textId="77777777" w:rsidR="0079774D" w:rsidRPr="00055D66" w:rsidRDefault="0079774D" w:rsidP="0079774D">
      <w:pPr>
        <w:spacing w:line="360" w:lineRule="auto"/>
        <w:rPr>
          <w:rFonts w:ascii="Calibri" w:eastAsia="MS Mincho" w:hAnsi="Calibri" w:cs="Calibri"/>
        </w:rPr>
      </w:pPr>
    </w:p>
    <w:p w14:paraId="4291D374" w14:textId="6DA282D3" w:rsidR="0079774D" w:rsidRPr="00055D66" w:rsidRDefault="0079774D">
      <w:pPr>
        <w:spacing w:line="360" w:lineRule="auto"/>
        <w:rPr>
          <w:rFonts w:ascii="Calibri" w:eastAsia="MS Mincho" w:hAnsi="Calibri" w:cs="Calibri"/>
        </w:rPr>
      </w:pPr>
      <w:r w:rsidRPr="088F2921">
        <w:rPr>
          <w:rFonts w:ascii="Calibri" w:eastAsia="MS Mincho" w:hAnsi="Calibri" w:cs="Calibri"/>
        </w:rPr>
        <w:t xml:space="preserve">Key educational policy strategies often draw on the rhetoric of raising the aspirations of socially disadvantaged students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{"citationItems":[{"id":"ITEM-1","itemData":{"DOI":"10.1080/17508487.2011.572828","ISSN":"17508487","abstract":"The notion of raising the aspirations of socially disadvantaged students is a key policy strategy in for enhancing such students’ participation in higher education. However, this strategy runs the risk of being simplistic and ineffective unless it is informed by research on the links between aspirations and such students’ changing life experiences particu- larly with regard to the many, often subtle, ways that power and privilege operate. This paper draws on an ethnographic study of young men in schools in regionalAustralia and shows how their everyday knowledges inform their aspirations. de Certeau’s concepts, ‘strategy’, ‘tactic’ and ‘spatialized knowledges’ assist us to understand the knowledges boys pursue, resist, cling to and relinquish in relation to the shifting knowledge imper- atives of their everyday lives. There are two main sets of knowledge they deploy; knowledge about life chances and lifestyle. Each involves diverse strategies and tactics.","author":[{"dropping-particle":"","family":"Kenway","given":"Jane","non-dropping-particle":"","parse-names":false,"suffix":""},{"dropping-particle":"","family":"Hickey-Moody","given":"Anna","non-dropping-particle":"","parse-names":false,"suffix":""}],"container-title":"Critical Studies in Education","id":"ITEM-1","issue":"2","issued":{"date-parts":[["2011"]]},"page":"151-163","title":"Life chances, lifestyle and everyday aspirational strategies and tactics","type":"article-journal","volume":"52"},"uris":["http://www.mendeley.com/documents/?uuid=97dda046-13d6-4a7b-a442-12ae8e8ba7a8"]}],"mendeley":{"formattedCitation":"(Kenway and Hickey-Moody, 2011)","plainTextFormattedCitation":"(Kenway and Hickey-Moody, 2011)","previouslyFormattedCitation":"(Kenway and Hickey-Moody, 2011)"},"properties":{"noteIndex":0},"schema":"https://github.com/citation-style-language/schema/raw/master/csl-citation.json"}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(Kenway and Hickey-Moody, 2011)</w:t>
      </w:r>
      <w:r w:rsidRPr="088F2921">
        <w:rPr>
          <w:rFonts w:ascii="Calibri" w:eastAsia="MS Mincho" w:hAnsi="Calibri" w:cs="Calibri"/>
        </w:rPr>
        <w:fldChar w:fldCharType="end"/>
      </w:r>
      <w:r w:rsidRPr="088F2921">
        <w:rPr>
          <w:rFonts w:ascii="Calibri" w:eastAsia="MS Mincho" w:hAnsi="Calibri" w:cs="Calibri"/>
        </w:rPr>
        <w:t xml:space="preserve"> . However, not everyone’s idea of positive pathways and outcomes are the same. What constitutes young men’s hopes or ‘aspirations’ for their lives are informed by their everyday knowledges. Information may be constituted by two main ways of knowing; life chances and lifestyle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{"citationItems":[{"id":"ITEM-1","itemData":{"DOI":"10.1080/17508487.2011.572828","ISSN":"17508487","abstract":"The notion of raising the aspirations of socially disadvantaged students is a key policy strategy in for enhancing such students’ participation in higher education. However, this strategy runs the risk of being simplistic and ineffective unless it is informed by research on the links between aspirations and such students’ changing life experiences particu- larly with regard to the many, often subtle, ways that power and privilege operate. This paper draws on an ethnographic study of young men in schools in regionalAustralia and shows how their everyday knowledges inform their aspirations. de Certeau’s concepts, ‘strategy’, ‘tactic’ and ‘spatialized knowledges’ assist us to understand the knowledges boys pursue, resist, cling to and relinquish in relation to the shifting knowledge imper- atives of their everyday lives. There are two main sets of knowledge they deploy; knowledge about life chances and lifestyle. Each involves diverse strategies and tactics.","author":[{"dropping-particle":"","family":"Kenway","given":"Jane","non-dropping-particle":"","parse-names":false,"suffix":""},{"dropping-particle":"","family":"Hickey-Moody","given":"Anna","non-dropping-particle":"","parse-names":false,"suffix":""}],"container-title":"Critical Studies in Education","id":"ITEM-1","issue":"2","issued":{"date-parts":[["2011"]]},"page":"151-163","title":"Life chances, lifestyle and everyday aspirational strategies and tactics","type":"article-journal","volume":"52"},"uris":["http://www.mendeley.com/documents/?uuid=97dda046-13d6-4a7b-a442-12ae8e8ba7a8"]}],"mendeley":{"formattedCitation":"(Kenway and Hickey-Moody, 2011)","plainTextFormattedCitation":"(Kenway and Hickey-Moody, 2011)","previouslyFormattedCitation":"(Kenway and Hickey-Moody, 2011)"},"properties":{"noteIndex":0},"schema":"https://github.com/citation-style-language/schema/raw/master/csl-citation.json"}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(Kenway and Hickey-Moody, </w:t>
      </w:r>
      <w:r w:rsidRPr="088F2921">
        <w:rPr>
          <w:rFonts w:ascii="Calibri" w:eastAsia="MS Mincho" w:hAnsi="Calibri" w:cs="Calibri"/>
          <w:noProof/>
        </w:rPr>
        <w:lastRenderedPageBreak/>
        <w:t>2011)</w:t>
      </w:r>
      <w:r w:rsidRPr="088F2921">
        <w:rPr>
          <w:rFonts w:ascii="Calibri" w:eastAsia="MS Mincho" w:hAnsi="Calibri" w:cs="Calibri"/>
        </w:rPr>
        <w:fldChar w:fldCharType="end"/>
      </w:r>
      <w:r w:rsidRPr="088F2921">
        <w:rPr>
          <w:rFonts w:ascii="Calibri" w:eastAsia="MS Mincho" w:hAnsi="Calibri" w:cs="Calibri"/>
        </w:rPr>
        <w:t xml:space="preserve">. Boys who focus on their ‘life chances’ and want to go to university have ‘aerial vision’. They are able to successfully navigate the education system’s ‘knowledge geography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{"citationItems":[{"id":"ITEM-1","itemData":{"DOI":"10.1080/17508487.2011.572828","ISSN":"17508487","abstract":"The notion of raising the aspirations of socially disadvantaged students is a key policy strategy in for enhancing such students’ participation in higher education. However, this strategy runs the risk of being simplistic and ineffective unless it is informed by research on the links between aspirations and such students’ changing life experiences particu- larly with regard to the many, often subtle, ways that power and privilege operate. This paper draws on an ethnographic study of young men in schools in regionalAustralia and shows how their everyday knowledges inform their aspirations. de Certeau’s concepts, ‘strategy’, ‘tactic’ and ‘spatialized knowledges’ assist us to understand the knowledges boys pursue, resist, cling to and relinquish in relation to the shifting knowledge imper- atives of their everyday lives. There are two main sets of knowledge they deploy; knowledge about life chances and lifestyle. Each involves diverse strategies and tactics.","author":[{"dropping-particle":"","family":"Kenway","given":"Jane","non-dropping-particle":"","parse-names":false,"suffix":""},{"dropping-particle":"","family":"Hickey-Moody","given":"Anna","non-dropping-particle":"","parse-names":false,"suffix":""}],"container-title":"Critical Studies in Education","id":"ITEM-1","issue":"2","issued":{"date-parts":[["2011"]]},"page":"151-163","title":"Life chances, lifestyle and everyday aspirational strategies and tactics","type":"article-journal","volume":"52"},"locator":"163","uris":["http://www.mendeley.com/documents/?uuid=97dda046-13d6-4a7b-a442-12ae8e8ba7a8"]}],"mendeley":{"formattedCitation":"(Kenway and Hickey-Moody, 2011, p. 163)","plainTextFormattedCitation":"(Kenway and Hickey-Moody, 2011, p. 163)","previouslyFormattedCitation":"(Kenway and Hickey-Moody, 2011, p. 163)"},"properties":{"noteIndex":0},"schema":"https://github.com/citation-style-language/schema/raw/master/csl-citation.json"}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(Kenway and Hickey-Moody, 2011, p.163)</w:t>
      </w:r>
      <w:r w:rsidRPr="088F2921">
        <w:rPr>
          <w:rFonts w:ascii="Calibri" w:eastAsia="MS Mincho" w:hAnsi="Calibri" w:cs="Calibri"/>
        </w:rPr>
        <w:fldChar w:fldCharType="end"/>
      </w:r>
      <w:r w:rsidRPr="088F2921">
        <w:rPr>
          <w:rFonts w:ascii="Calibri" w:eastAsia="MS Mincho" w:hAnsi="Calibri" w:cs="Calibri"/>
        </w:rPr>
        <w:t>. Those boys who focus on knowledge about ‘life</w:t>
      </w:r>
      <w:r w:rsidR="004C26E5">
        <w:rPr>
          <w:rFonts w:ascii="Calibri" w:eastAsia="MS Mincho" w:hAnsi="Calibri" w:cs="Calibri"/>
        </w:rPr>
        <w:t>-</w:t>
      </w:r>
      <w:r w:rsidRPr="088F2921">
        <w:rPr>
          <w:rFonts w:ascii="Calibri" w:eastAsia="MS Mincho" w:hAnsi="Calibri" w:cs="Calibri"/>
        </w:rPr>
        <w:t xml:space="preserve">style’ are inclined aspire less in the long term but focus on the ‘here-and-now’. Strategies about educational aspirations risk being simplistic and ineffective if the shifting knowledge about young men’s ‘‘strategy’, ‘tactic’ and ‘spatialized knowledges’ is not taken into consideration (de Certeau in </w:t>
      </w:r>
      <w:r w:rsidRPr="088F2921">
        <w:rPr>
          <w:rFonts w:ascii="Calibri" w:eastAsia="MS Mincho" w:hAnsi="Calibri" w:cs="Calibri"/>
          <w:noProof/>
        </w:rPr>
        <w:t xml:space="preserve">Kenway &amp; Hickey-Moody 2011). The Serious Case Review (SCR) into ‘Chris’, a young man from Newham who was murdered, referred to </w:t>
      </w:r>
      <w:r w:rsidRPr="088F2921">
        <w:rPr>
          <w:rFonts w:ascii="Calibri" w:eastAsia="MS Mincho" w:hAnsi="Calibri" w:cs="Calibri"/>
        </w:rPr>
        <w:t xml:space="preserve">low educational expectations and attainment as an aspect of his educational disengagement. </w:t>
      </w:r>
      <w:r w:rsidR="0BACDA51" w:rsidRPr="088F2921">
        <w:rPr>
          <w:rFonts w:ascii="Calibri" w:eastAsia="MS Mincho" w:hAnsi="Calibri" w:cs="Calibri"/>
        </w:rPr>
        <w:t>Children and young people excluded from schools may be more vulnerable to criminal exploitation (Te</w:t>
      </w:r>
      <w:r w:rsidR="28426EA5" w:rsidRPr="088F2921">
        <w:rPr>
          <w:rFonts w:ascii="Calibri" w:eastAsia="MS Mincho" w:hAnsi="Calibri" w:cs="Calibri"/>
        </w:rPr>
        <w:t xml:space="preserve">mple, 2020), although isolating causal variables is somewhat challenging. </w:t>
      </w:r>
      <w:r w:rsidRPr="088F2921">
        <w:rPr>
          <w:rFonts w:ascii="Calibri" w:eastAsia="MS Mincho" w:hAnsi="Calibri" w:cs="Calibri"/>
        </w:rPr>
        <w:t xml:space="preserve">US literature relating to the pathways of young African American men describes a ‘preschool to prison pipeline’ </w:t>
      </w:r>
      <w:r w:rsidR="0080697E">
        <w:rPr>
          <w:rFonts w:ascii="Calibri" w:eastAsia="MS Mincho" w:hAnsi="Calibri" w:cs="Calibri"/>
        </w:rPr>
        <w:t>(Rashid, 2009, p.347)</w:t>
      </w:r>
      <w:r w:rsidRPr="088F2921">
        <w:rPr>
          <w:rFonts w:ascii="Calibri" w:eastAsia="MS Mincho" w:hAnsi="Calibri" w:cs="Calibri"/>
        </w:rPr>
        <w:t xml:space="preserve">, whereby ‘brilliant babies’ are transformed into children at risk within six years owing to a range of factors including include quality of preschool setting; teacher beliefs, expectations, and </w:t>
      </w:r>
      <w:r w:rsidR="00301C85" w:rsidRPr="088F2921">
        <w:rPr>
          <w:rFonts w:ascii="Calibri" w:eastAsia="MS Mincho" w:hAnsi="Calibri" w:cs="Calibri"/>
        </w:rPr>
        <w:t>behaviour</w:t>
      </w:r>
      <w:r w:rsidRPr="088F2921">
        <w:rPr>
          <w:rFonts w:ascii="Calibri" w:eastAsia="MS Mincho" w:hAnsi="Calibri" w:cs="Calibri"/>
        </w:rPr>
        <w:t xml:space="preserve">; acquisition of early literacy and school readiness skills; and curriculum quality and relevance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{"citationItems":[{"id":"ITEM-1","itemData":{"DOI":"10.2307/25608751","ISBN":"00222984","ISSN":"0022-2984","PMID":"2574","abstract":"The preschool and early elementary years play a major role in transforming young African American boys from \"brilliant babies\" into \"children placed at risk\". A preschool to prison pipeline now exists that is becoming increasingly apparent. It runs from preschool settings through elementary and middle school, into the high schools from which young African American men continue to drop out in staggering numbers, and ultimately, into federal and state prisons. A number of critical factors affect the status of African American boys in early childhood education. They include quality of preschool setting; teacher beliefs, expectations, and behavior; acquisition of early literacy and school readiness skills; and curriculum quality and relevance. In order to address these issues and the broader context of early childhood education for African American boys, a wide range of recommendations are made for consideration by communities and policymakers.","author":[{"dropping-particle":"","family":"Rashid","given":"Hakim M","non-dropping-particle":"","parse-names":false,"suffix":""},{"dropping-particle":"","family":"Rashid Howard","given":"Hakim M","non-dropping-particle":"","parse-names":false,"suffix":""}],"container-title":"Source: The Journal of Negro Education The Journal of Negro Education","id":"ITEM-1","issue":"783","issued":{"date-parts":[["2009"]]},"page":"347-358","title":"From Brilliant Baby to Child Placed At Risk: The Perilous Path of African American Boys in Early Childhood Education","type":"article-journal","volume":"78"},"uris":["http://www.mendeley.com/documents/?uuid=ad27c3ec-acd0-4571-9e0c-bc122d825481"]}],"mendeley":{"formattedCitation":"(Rashid and Rashid Howard, 2009)","plainTextFormattedCitation":"(Rashid and Rashid Howard, 2009)","previouslyFormattedCitation":"(Rashid and Rashid Howard, 2009)"},"properties":{"noteIndex":0},"schema":"https://github.com/citation-style-language/schema/raw/master/csl-citation.json"}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(Rashid and Rashid Howard, 2009)</w:t>
      </w:r>
      <w:r w:rsidRPr="088F2921">
        <w:rPr>
          <w:rFonts w:ascii="Calibri" w:eastAsia="MS Mincho" w:hAnsi="Calibri" w:cs="Calibri"/>
        </w:rPr>
        <w:fldChar w:fldCharType="end"/>
      </w:r>
      <w:r w:rsidRPr="088F2921">
        <w:rPr>
          <w:rFonts w:ascii="Calibri" w:eastAsia="MS Mincho" w:hAnsi="Calibri" w:cs="Calibri"/>
        </w:rPr>
        <w:t>.</w:t>
      </w:r>
    </w:p>
    <w:p w14:paraId="6F69F350" w14:textId="77777777" w:rsidR="0079774D" w:rsidRPr="00055D66" w:rsidRDefault="0079774D" w:rsidP="0079774D">
      <w:pPr>
        <w:spacing w:line="360" w:lineRule="auto"/>
        <w:rPr>
          <w:rFonts w:ascii="Calibri" w:eastAsia="MS Mincho" w:hAnsi="Calibri" w:cs="Calibri"/>
        </w:rPr>
      </w:pPr>
    </w:p>
    <w:p w14:paraId="2AD3EFAA" w14:textId="2226D837" w:rsidR="004C26E5" w:rsidRDefault="0079774D" w:rsidP="0079774D">
      <w:pPr>
        <w:spacing w:line="360" w:lineRule="auto"/>
        <w:rPr>
          <w:rFonts w:ascii="Calibri" w:eastAsia="MS Mincho" w:hAnsi="Calibri" w:cs="Calibri"/>
        </w:rPr>
      </w:pPr>
      <w:r w:rsidRPr="088F2921">
        <w:rPr>
          <w:rFonts w:ascii="Calibri" w:eastAsia="MS Mincho" w:hAnsi="Calibri" w:cs="Calibri"/>
        </w:rPr>
        <w:t xml:space="preserve">The classroom is regarded an important site for the framing of challenging behaviour, with the public nature of discipline featuring as key for the early production of problematic reputations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{"citationItems":[{"id":"ITEM-1","itemData":{"DOI":"10.1136/ard.2005.041137","abstract":"Final report to ESRC on project.","author":[{"dropping-particle":"","family":"MacLure","given":"M","non-dropping-particle":"","parse-names":false,"suffix":""},{"dropping-particle":"","family":"Jones","given":"L","non-dropping-particle":"","parse-names":false,"suffix":""},{"dropping-particle":"","family":"Holmes","given":"R","non-dropping-particle":"","parse-names":false,"suffix":""},{"dropping-particle":"","family":"MacRae","given":"C","non-dropping-particle":"","parse-names":false,"suffix":""}],"id":"ITEM-1","issued":{"date-parts":[["2008"]]},"number-of-pages":"1-21","title":"Becoming a problem: how and why children acquire a reputation as ‘naughty’in the earliest years at school","type":"report"},"uris":["http://www.mendeley.com/documents/?uuid=8470df9a-73ed-4e5d-8d23-5e7e4b9bb1ad"]}],"mendeley":{"formattedCitation":"(MacLure &lt;i&gt;et al.&lt;/i&gt;, 2008)","plainTextFormattedCitation":"(MacLure et al., 2008)","previouslyFormattedCitation":"(MacLure &lt;i&gt;et al.&lt;/i&gt;, 2008)"},"properties":{"noteIndex":0},"schema":"https://github.com/citation-style-language/schema/raw/master/csl-citation.json"}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(MacLure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88F2921">
        <w:rPr>
          <w:rFonts w:ascii="Calibri" w:eastAsia="MS Mincho" w:hAnsi="Calibri" w:cs="Calibri"/>
          <w:noProof/>
        </w:rPr>
        <w:t xml:space="preserve"> 2008)</w:t>
      </w:r>
      <w:r w:rsidRPr="088F2921">
        <w:rPr>
          <w:rFonts w:ascii="Calibri" w:eastAsia="MS Mincho" w:hAnsi="Calibri" w:cs="Calibri"/>
        </w:rPr>
        <w:fldChar w:fldCharType="end"/>
      </w:r>
      <w:r w:rsidRPr="088F2921">
        <w:rPr>
          <w:rFonts w:ascii="Calibri" w:eastAsia="MS Mincho" w:hAnsi="Calibri" w:cs="Calibri"/>
        </w:rPr>
        <w:t xml:space="preserve">. Classroom rules are operationalised in ways that ‘marginalise a minority of children’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{"citationItems":[{"id":"ITEM-1","itemData":{"DOI":"10.1136/ard.2005.041137","abstract":"Final report to ESRC on project.","author":[{"dropping-particle":"","family":"MacLure","given":"M","non-dropping-particle":"","parse-names":false,"suffix":""},{"dropping-particle":"","family":"Jones","given":"L","non-dropping-particle":"","parse-names":false,"suffix":""},{"dropping-particle":"","family":"Holmes","given":"R","non-dropping-particle":"","parse-names":false,"suffix":""},{"dropping-particle":"","family":"MacRae","given":"C","non-dropping-particle":"","parse-names":false,"suffix":""}],"id":"ITEM-1","issued":{"date-parts":[["2008"]]},"number-of-pages":"1-21","title":"Becoming a problem: how and why children acquire a reputation as ‘naughty’in the earliest years at school","type":"report"},"locator":"13","uris":["http://www.mendeley.com/documents/?uuid=8470df9a-73ed-4e5d-8d23-5e7e4b9bb1ad"]}],"mendeley":{"formattedCitation":"(MacLure &lt;i&gt;et al.&lt;/i&gt;, 2008, p. 13)","plainTextFormattedCitation":"(MacLure et al., 2008, p. 13)","previouslyFormattedCitation":"(MacLure &lt;i&gt;et al.&lt;/i&gt;, 2008, p. 13)"},"properties":{"noteIndex":0},"schema":"https://github.com/citation-style-language/schema/raw/master/csl-citation.json"}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(MacLure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88F2921">
        <w:rPr>
          <w:rFonts w:ascii="Calibri" w:eastAsia="MS Mincho" w:hAnsi="Calibri" w:cs="Calibri"/>
          <w:noProof/>
        </w:rPr>
        <w:t>2008, p.13)</w:t>
      </w:r>
      <w:r w:rsidRPr="088F2921">
        <w:rPr>
          <w:rFonts w:ascii="Calibri" w:eastAsia="MS Mincho" w:hAnsi="Calibri" w:cs="Calibri"/>
        </w:rPr>
        <w:fldChar w:fldCharType="end"/>
      </w:r>
      <w:r w:rsidRPr="088F2921">
        <w:rPr>
          <w:rFonts w:ascii="Calibri" w:eastAsia="MS Mincho" w:hAnsi="Calibri" w:cs="Calibri"/>
        </w:rPr>
        <w:t xml:space="preserve">. Those with autism and/or ADHD who ‘do not conform to attentive and docile bodies required in mainstream education’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{"citationItems":[{"id":"ITEM-1","itemData":{"DOI":"10.1136/ard.2005.041137","abstract":"Final report to ESRC on project.","author":[{"dropping-particle":"","family":"MacLure","given":"M","non-dropping-particle":"","parse-names":false,"suffix":""},{"dropping-particle":"","family":"Jones","given":"L","non-dropping-particle":"","parse-names":false,"suffix":""},{"dropping-particle":"","family":"Holmes","given":"R","non-dropping-particle":"","parse-names":false,"suffix":""},{"dropping-particle":"","family":"MacRae","given":"C","non-dropping-particle":"","parse-names":false,"suffix":""}],"id":"ITEM-1","issued":{"date-parts":[["2008"]]},"number-of-pages":"1-21","title":"Becoming a problem: how and why children acquire a reputation as ‘naughty’in the earliest years at school","type":"report"},"locator":"4","uris":["http://www.mendeley.com/documents/?uuid=8470df9a-73ed-4e5d-8d23-5e7e4b9bb1ad"]}],"mendeley":{"formattedCitation":"(MacLure &lt;i&gt;et al.&lt;/i&gt;, 2008, p. 4)","plainTextFormattedCitation":"(MacLure et al., 2008, p. 4)","previouslyFormattedCitation":"(MacLure &lt;i&gt;et al.&lt;/i&gt;, 2008, p. 4)"},"properties":{"noteIndex":0},"schema":"https://github.com/citation-style-language/schema/raw/master/csl-citation.json"}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(MacLure </w:t>
      </w:r>
      <w:r w:rsidR="0080697E" w:rsidRPr="0080697E">
        <w:rPr>
          <w:rFonts w:ascii="Calibri" w:eastAsia="MS Mincho" w:hAnsi="Calibri" w:cs="Calibri"/>
          <w:i/>
          <w:iCs/>
          <w:noProof/>
        </w:rPr>
        <w:t>et al.,</w:t>
      </w:r>
      <w:r w:rsidRPr="088F2921">
        <w:rPr>
          <w:rFonts w:ascii="Calibri" w:eastAsia="MS Mincho" w:hAnsi="Calibri" w:cs="Calibri"/>
          <w:noProof/>
        </w:rPr>
        <w:t xml:space="preserve"> 2008, p.4)</w:t>
      </w:r>
      <w:r w:rsidRPr="088F2921">
        <w:rPr>
          <w:rFonts w:ascii="Calibri" w:eastAsia="MS Mincho" w:hAnsi="Calibri" w:cs="Calibri"/>
        </w:rPr>
        <w:fldChar w:fldCharType="end"/>
      </w:r>
      <w:r w:rsidRPr="088F2921">
        <w:rPr>
          <w:rFonts w:ascii="Calibri" w:eastAsia="MS Mincho" w:hAnsi="Calibri" w:cs="Calibri"/>
        </w:rPr>
        <w:t xml:space="preserve"> may acquire a reputation as ‘naughty’. </w:t>
      </w:r>
    </w:p>
    <w:p w14:paraId="4F6B86E6" w14:textId="77777777" w:rsidR="004C26E5" w:rsidRDefault="004C26E5" w:rsidP="0079774D">
      <w:pPr>
        <w:spacing w:line="360" w:lineRule="auto"/>
        <w:rPr>
          <w:rFonts w:ascii="Calibri" w:eastAsia="MS Mincho" w:hAnsi="Calibri" w:cs="Calibri"/>
        </w:rPr>
      </w:pPr>
    </w:p>
    <w:p w14:paraId="002ECBAB" w14:textId="6AE16FB7" w:rsidR="004C26E5" w:rsidRDefault="00B07248" w:rsidP="0079774D">
      <w:pPr>
        <w:spacing w:line="360" w:lineRule="auto"/>
        <w:rPr>
          <w:rFonts w:ascii="Calibri" w:eastAsia="MS Mincho" w:hAnsi="Calibri" w:cs="Calibri"/>
        </w:rPr>
      </w:pPr>
      <w:r w:rsidRPr="088F2921">
        <w:rPr>
          <w:rFonts w:ascii="Calibri" w:eastAsia="MS Mincho" w:hAnsi="Calibri" w:cs="Calibri"/>
        </w:rPr>
        <w:t>Some of the more recent literature regarding the use of outdoor education</w:t>
      </w:r>
      <w:r w:rsidR="2A956611" w:rsidRPr="088F2921">
        <w:rPr>
          <w:rFonts w:ascii="Calibri" w:eastAsia="MS Mincho" w:hAnsi="Calibri" w:cs="Calibri"/>
        </w:rPr>
        <w:t>, experiences</w:t>
      </w:r>
      <w:r w:rsidRPr="088F2921">
        <w:rPr>
          <w:rFonts w:ascii="Calibri" w:eastAsia="MS Mincho" w:hAnsi="Calibri" w:cs="Calibri"/>
        </w:rPr>
        <w:t xml:space="preserve"> and engagement in a ‘different’ way may provide useful learning for service delivery here too</w:t>
      </w:r>
      <w:r w:rsidR="186A0729" w:rsidRPr="088F2921">
        <w:rPr>
          <w:rFonts w:ascii="Calibri" w:eastAsia="MS Mincho" w:hAnsi="Calibri" w:cs="Calibri"/>
        </w:rPr>
        <w:t xml:space="preserve">, especially for those young men who may find this less confrontational and/or </w:t>
      </w:r>
      <w:r w:rsidR="5DAC5520" w:rsidRPr="088F2921">
        <w:rPr>
          <w:rFonts w:ascii="Calibri" w:eastAsia="MS Mincho" w:hAnsi="Calibri" w:cs="Calibri"/>
        </w:rPr>
        <w:t>more appealing</w:t>
      </w:r>
      <w:r w:rsidR="7A647644" w:rsidRPr="088F2921">
        <w:rPr>
          <w:rFonts w:ascii="Calibri" w:eastAsia="MS Mincho" w:hAnsi="Calibri" w:cs="Calibri"/>
        </w:rPr>
        <w:t xml:space="preserve"> </w:t>
      </w:r>
      <w:r w:rsidR="7A647644" w:rsidRPr="088F2921">
        <w:rPr>
          <w:rFonts w:ascii="Calibri" w:eastAsia="MS Mincho" w:hAnsi="Calibri" w:cs="Calibri"/>
        </w:rPr>
        <w:lastRenderedPageBreak/>
        <w:t xml:space="preserve">modes of engaging within a helping context. Whilst much of the academic literature </w:t>
      </w:r>
      <w:r w:rsidR="1D74FB08" w:rsidRPr="088F2921">
        <w:rPr>
          <w:rFonts w:ascii="Calibri" w:eastAsia="MS Mincho" w:hAnsi="Calibri" w:cs="Calibri"/>
        </w:rPr>
        <w:t xml:space="preserve">currently </w:t>
      </w:r>
      <w:r w:rsidR="7A647644" w:rsidRPr="088F2921">
        <w:rPr>
          <w:rFonts w:ascii="Calibri" w:eastAsia="MS Mincho" w:hAnsi="Calibri" w:cs="Calibri"/>
        </w:rPr>
        <w:t>relates to</w:t>
      </w:r>
      <w:r w:rsidR="00323851">
        <w:rPr>
          <w:rFonts w:ascii="Calibri" w:eastAsia="MS Mincho" w:hAnsi="Calibri" w:cs="Calibri"/>
        </w:rPr>
        <w:t xml:space="preserve"> adults</w:t>
      </w:r>
      <w:r w:rsidR="679F3A92" w:rsidRPr="088F2921">
        <w:rPr>
          <w:rFonts w:ascii="Calibri" w:eastAsia="MS Mincho" w:hAnsi="Calibri" w:cs="Calibri"/>
        </w:rPr>
        <w:t>, some studies from outside the UK</w:t>
      </w:r>
      <w:r w:rsidR="7B577110" w:rsidRPr="088F2921">
        <w:rPr>
          <w:rFonts w:ascii="Calibri" w:eastAsia="MS Mincho" w:hAnsi="Calibri" w:cs="Calibri"/>
        </w:rPr>
        <w:t xml:space="preserve">, such as </w:t>
      </w:r>
      <w:r w:rsidR="26A5E577" w:rsidRPr="088F2921">
        <w:rPr>
          <w:rFonts w:ascii="Calibri" w:eastAsia="MS Mincho" w:hAnsi="Calibri" w:cs="Calibri"/>
        </w:rPr>
        <w:t xml:space="preserve">Puhakka </w:t>
      </w:r>
      <w:r w:rsidR="0080697E">
        <w:rPr>
          <w:rFonts w:ascii="Calibri" w:eastAsia="MS Mincho" w:hAnsi="Calibri" w:cs="Calibri"/>
        </w:rPr>
        <w:t>et al.</w:t>
      </w:r>
      <w:proofErr w:type="gramStart"/>
      <w:r w:rsidR="0080697E">
        <w:rPr>
          <w:rFonts w:ascii="Calibri" w:eastAsia="MS Mincho" w:hAnsi="Calibri" w:cs="Calibri"/>
        </w:rPr>
        <w:t xml:space="preserve">, </w:t>
      </w:r>
      <w:r w:rsidR="26A5E577" w:rsidRPr="088F2921">
        <w:rPr>
          <w:rFonts w:ascii="Calibri" w:eastAsia="MS Mincho" w:hAnsi="Calibri" w:cs="Calibri"/>
        </w:rPr>
        <w:t xml:space="preserve"> (</w:t>
      </w:r>
      <w:proofErr w:type="gramEnd"/>
      <w:r w:rsidR="26A5E577" w:rsidRPr="088F2921">
        <w:rPr>
          <w:rFonts w:ascii="Calibri" w:eastAsia="MS Mincho" w:hAnsi="Calibri" w:cs="Calibri"/>
        </w:rPr>
        <w:t>2018)</w:t>
      </w:r>
      <w:r w:rsidR="4348CB1A" w:rsidRPr="088F2921">
        <w:rPr>
          <w:rFonts w:ascii="Calibri" w:eastAsia="MS Mincho" w:hAnsi="Calibri" w:cs="Calibri"/>
        </w:rPr>
        <w:t xml:space="preserve"> and Khan </w:t>
      </w:r>
      <w:r w:rsidR="0080697E">
        <w:rPr>
          <w:rFonts w:ascii="Calibri" w:eastAsia="MS Mincho" w:hAnsi="Calibri" w:cs="Calibri"/>
        </w:rPr>
        <w:t xml:space="preserve">et al., </w:t>
      </w:r>
      <w:r w:rsidR="4348CB1A" w:rsidRPr="088F2921">
        <w:rPr>
          <w:rFonts w:ascii="Calibri" w:eastAsia="MS Mincho" w:hAnsi="Calibri" w:cs="Calibri"/>
        </w:rPr>
        <w:t xml:space="preserve"> (2014)</w:t>
      </w:r>
      <w:r w:rsidR="26A5E577" w:rsidRPr="088F2921">
        <w:rPr>
          <w:rFonts w:ascii="Calibri" w:eastAsia="MS Mincho" w:hAnsi="Calibri" w:cs="Calibri"/>
        </w:rPr>
        <w:t xml:space="preserve"> confirm the positive </w:t>
      </w:r>
      <w:r w:rsidR="4FBB4DA6" w:rsidRPr="088F2921">
        <w:rPr>
          <w:rFonts w:ascii="Calibri" w:eastAsia="MS Mincho" w:hAnsi="Calibri" w:cs="Calibri"/>
        </w:rPr>
        <w:t>impact</w:t>
      </w:r>
      <w:r w:rsidR="26A5E577" w:rsidRPr="088F2921">
        <w:rPr>
          <w:rFonts w:ascii="Calibri" w:eastAsia="MS Mincho" w:hAnsi="Calibri" w:cs="Calibri"/>
        </w:rPr>
        <w:t xml:space="preserve"> of ‘nature related’ activity upon well-being</w:t>
      </w:r>
      <w:r w:rsidR="5F164325" w:rsidRPr="088F2921">
        <w:rPr>
          <w:rFonts w:ascii="Calibri" w:eastAsia="MS Mincho" w:hAnsi="Calibri" w:cs="Calibri"/>
        </w:rPr>
        <w:t>, and mental health in particular</w:t>
      </w:r>
      <w:r w:rsidR="79550F99" w:rsidRPr="088F2921">
        <w:rPr>
          <w:rFonts w:ascii="Calibri" w:eastAsia="MS Mincho" w:hAnsi="Calibri" w:cs="Calibri"/>
        </w:rPr>
        <w:t>.</w:t>
      </w:r>
    </w:p>
    <w:p w14:paraId="24C63F1D" w14:textId="73E927E6" w:rsidR="0079774D" w:rsidRPr="00055D66" w:rsidRDefault="0079774D" w:rsidP="0079774D">
      <w:pPr>
        <w:spacing w:line="360" w:lineRule="auto"/>
        <w:rPr>
          <w:rFonts w:ascii="Calibri" w:eastAsia="MS Mincho" w:hAnsi="Calibri" w:cs="Calibri"/>
        </w:rPr>
      </w:pPr>
    </w:p>
    <w:p w14:paraId="64700EB4" w14:textId="7C6A2A60" w:rsidR="0079774D" w:rsidRPr="00CA05E9" w:rsidRDefault="0079774D" w:rsidP="0079774D">
      <w:pPr>
        <w:spacing w:line="360" w:lineRule="auto"/>
        <w:rPr>
          <w:rFonts w:ascii="Calibri" w:eastAsia="MS Mincho" w:hAnsi="Calibri" w:cs="Calibri"/>
          <w:i/>
          <w:iCs/>
        </w:rPr>
      </w:pPr>
      <w:r w:rsidRPr="00CA05E9">
        <w:rPr>
          <w:rFonts w:ascii="Calibri" w:eastAsia="MS Mincho" w:hAnsi="Calibri" w:cs="Calibri"/>
          <w:i/>
          <w:iCs/>
        </w:rPr>
        <w:t>2.2.</w:t>
      </w:r>
      <w:r w:rsidR="00114D69">
        <w:rPr>
          <w:rFonts w:ascii="Calibri" w:eastAsia="MS Mincho" w:hAnsi="Calibri" w:cs="Calibri"/>
          <w:i/>
          <w:iCs/>
        </w:rPr>
        <w:t>6</w:t>
      </w:r>
      <w:r w:rsidRPr="00CA05E9">
        <w:rPr>
          <w:rFonts w:ascii="Calibri" w:eastAsia="MS Mincho" w:hAnsi="Calibri" w:cs="Calibri"/>
          <w:i/>
          <w:iCs/>
        </w:rPr>
        <w:t xml:space="preserve"> Abuse, isolation and mental health</w:t>
      </w:r>
    </w:p>
    <w:p w14:paraId="39F1010F"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Feeling disconnected from family, community, and wider society are barriers to communication and can lead to feelings of isolation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{"citationItems":[{"id":"ITEM-1","itemData":{"DOI":"10.1177/1557988316634088","ISBN":"1557988316634","ISSN":"1557-9883","PMID":"26921002","abstract":"There have been increasing calls for more gender-specific service provision to support young men's (20-29 years) mental health and well-being. In Ireland, young men are the demographic group that are most likely to die by suicide but among the least likely to seek help. This study sought to investigate service providers' perspectives on the factors that support or inhibit young men from engaging in services targeted at supporting their mental/emotional well-being. Qualitative methodologies (focus groups, n = 9; interviews, n = 7) were used for this study. Disconnection from family and community was identified as a key indicator of \"at-risk\" groups of young men who, more typically, had experienced significant disruption in their lives. The discord between demands and expectations facing young men on one hand, and insufficient life-management and coping skills on the other, left many young men vulnerable and bereft. The desire to save face and preserve one's masculine identity was linked to young men's reluctance to seek help when feeling down. There was a strong consensus that there could be no shortcuts to [re]connecting with young men. While sport, technology, and social media were cited as appropriate media in which to engage young men, the essence of sustained connection revolved around creating safety, trust, rapport, and meaningful relationships. The findings from this study have informed the development of a Train the Trainer program (\"Connecting with Young Men\"), which is currently being delivered to service providers in Ireland and which may have implications for service provision elsewhere. Language: en","author":[{"dropping-particle":"","family":"Grace","given":"B.","non-dropping-particle":"","parse-names":false,"suffix":""},{"dropping-particle":"","family":"Richardson","given":"N.","non-dropping-particle":"","parse-names":false,"suffix":""},{"dropping-particle":"","family":"Carroll","given":"P.","non-dropping-particle":"","parse-names":false,"suffix":""}],"container-title":"American Journal of Men's Health","id":"ITEM-1","issued":{"date-parts":[["2016"]]},"title":"\". . . If Youre Not Part of the Institution You Fall by the Wayside\": Service Providers Perspectives on Moving Young Men From Disconnection and Isolation to Connection and Belonging","type":"article-journal"},"uris":["http://www.mendeley.com/documents/?uuid=cfe4ba4a-904d-4685-842d-a4c8dbd7250c"]}],"mendeley":{"formattedCitation":"(Grace, Richardson and Carroll, 2016)","plainTextFormattedCitation":"(Grace, Richardson and Carroll, 2016)","previouslyFormattedCitation":"(Grace, Richardson and Carroll, 2016)"},"properties":{"noteIndex":0},"schema":"https://github.com/citation-style-language/schema/raw/master/csl-citation.json"}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(Grace, Richardson and Carroll, 2016)</w:t>
      </w:r>
      <w:r w:rsidRPr="00055D66">
        <w:rPr>
          <w:rFonts w:ascii="Calibri" w:eastAsia="MS Mincho" w:hAnsi="Calibri" w:cs="Calibri"/>
        </w:rPr>
        <w:fldChar w:fldCharType="end"/>
      </w:r>
      <w:r w:rsidRPr="00055D66">
        <w:rPr>
          <w:rFonts w:ascii="Calibri" w:eastAsia="MS Mincho" w:hAnsi="Calibri" w:cs="Calibri"/>
        </w:rPr>
        <w:t xml:space="preserve">. Young men participating in a small scale qualitative research project carried out in Ireland entitled ‘If You’re Not Part of the Institution You Fall by the Wayside’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{"citationItems":[{"id":"ITEM-1","itemData":{"DOI":"10.1177/1557988316634088","ISBN":"1557988316634","ISSN":"1557-9883","PMID":"26921002","abstract":"There have been increasing calls for more gender-specific service provision to support young men's (20-29 years) mental health and well-being. In Ireland, young men are the demographic group that are most likely to die by suicide but among the least likely to seek help. This study sought to investigate service providers' perspectives on the factors that support or inhibit young men from engaging in services targeted at supporting their mental/emotional well-being. Qualitative methodologies (focus groups, n = 9; interviews, n = 7) were used for this study. Disconnection from family and community was identified as a key indicator of \"at-risk\" groups of young men who, more typically, had experienced significant disruption in their lives. The discord between demands and expectations facing young men on one hand, and insufficient life-management and coping skills on the other, left many young men vulnerable and bereft. The desire to save face and preserve one's masculine identity was linked to young men's reluctance to seek help when feeling down. There was a strong consensus that there could be no shortcuts to [re]connecting with young men. While sport, technology, and social media were cited as appropriate media in which to engage young men, the essence of sustained connection revolved around creating safety, trust, rapport, and meaningful relationships. The findings from this study have informed the development of a Train the Trainer program (\"Connecting with Young Men\"), which is currently being delivered to service providers in Ireland and which may have implications for service provision elsewhere. Language: en","author":[{"dropping-particle":"","family":"Grace","given":"B.","non-dropping-particle":"","parse-names":false,"suffix":""},{"dropping-particle":"","family":"Richardson","given":"N.","non-dropping-particle":"","parse-names":false,"suffix":""},{"dropping-particle":"","family":"Carroll","given":"P.","non-dropping-particle":"","parse-names":false,"suffix":""}],"container-title":"American Journal of Men's Health","id":"ITEM-1","issued":{"date-parts":[["2016"]]},"title":"\". . . If Youre Not Part of the Institution You Fall by the Wayside\": Service Providers Perspectives on Moving Young Men From Disconnection and Isolation to Connection and Belonging","type":"article-journal"},"uris":["http://www.mendeley.com/documents/?uuid=cfe4ba4a-904d-4685-842d-a4c8dbd7250c"]}],"mendeley":{"formattedCitation":"(Grace, Richardson and Carroll, 2016)","plainTextFormattedCitation":"(Grace, Richardson and Carroll, 2016)","previouslyFormattedCitation":"(Grace, Richardson and Carroll, 2016)"},"properties":{"noteIndex":0},"schema":"https://github.com/citation-style-language/schema/raw/master/csl-citation.json"}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(Grace, Richardson and Carroll, 2016)</w:t>
      </w:r>
      <w:r w:rsidRPr="00055D66">
        <w:rPr>
          <w:rFonts w:ascii="Calibri" w:eastAsia="MS Mincho" w:hAnsi="Calibri" w:cs="Calibri"/>
        </w:rPr>
        <w:fldChar w:fldCharType="end"/>
      </w:r>
      <w:r w:rsidRPr="00055D66">
        <w:rPr>
          <w:rFonts w:ascii="Calibri" w:eastAsia="MS Mincho" w:hAnsi="Calibri" w:cs="Calibri"/>
        </w:rPr>
        <w:t xml:space="preserve"> were reported to experience a lack of connection and sense of belonging to their communities. In many instances, they were consequently unwilling to engage with mental health service providers in relation to their emotional wellbeing.</w:t>
      </w:r>
    </w:p>
    <w:p w14:paraId="6DC264FA" w14:textId="77777777" w:rsidR="0079774D" w:rsidRPr="00055D66" w:rsidRDefault="0079774D" w:rsidP="0079774D">
      <w:pPr>
        <w:spacing w:line="360" w:lineRule="auto"/>
        <w:rPr>
          <w:rFonts w:ascii="Calibri" w:eastAsia="MS Mincho" w:hAnsi="Calibri" w:cs="Calibri"/>
        </w:rPr>
      </w:pPr>
    </w:p>
    <w:p w14:paraId="55A8C46E" w14:textId="273A1AC5"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SCRs </w:t>
      </w:r>
      <w:r w:rsidR="396A5E85" w:rsidRPr="088F2921">
        <w:rPr>
          <w:rFonts w:ascii="Calibri" w:eastAsia="MS Mincho" w:hAnsi="Calibri" w:cs="Calibri"/>
        </w:rPr>
        <w:t xml:space="preserve">also </w:t>
      </w:r>
      <w:r w:rsidRPr="088F2921">
        <w:rPr>
          <w:rFonts w:ascii="Calibri" w:eastAsia="MS Mincho" w:hAnsi="Calibri" w:cs="Calibri"/>
        </w:rPr>
        <w:t>indicate that young men are often unwilling to engage with mental health service providers. ‘E’, a 17-year-old boy from Brighton and Hove, was approaching his 18</w:t>
      </w:r>
      <w:r w:rsidRPr="00301C85">
        <w:rPr>
          <w:rFonts w:ascii="Calibri" w:eastAsia="MS Mincho" w:hAnsi="Calibri" w:cs="Calibri"/>
          <w:vertAlign w:val="superscript"/>
        </w:rPr>
        <w:t>th</w:t>
      </w:r>
      <w:r w:rsidRPr="088F2921">
        <w:rPr>
          <w:rFonts w:ascii="Calibri" w:eastAsia="MS Mincho" w:hAnsi="Calibri" w:cs="Calibri"/>
        </w:rPr>
        <w:t xml:space="preserve"> birthday in December 2014 when he was seriously injured by hanging and died in hospital the following day. E had a family history of suicide, and although E was referred to the Child and Adolescent Mental Health Service (CAMHS) ‘like many/most young people’ E declined services. ‘He went to one appointment, and decided it wasn’t for him’ (Trench and Rogers</w:t>
      </w:r>
      <w:r w:rsidR="00623834">
        <w:rPr>
          <w:rFonts w:ascii="Calibri" w:eastAsia="MS Mincho" w:hAnsi="Calibri" w:cs="Calibri"/>
        </w:rPr>
        <w:t>,</w:t>
      </w:r>
      <w:r w:rsidRPr="088F2921">
        <w:rPr>
          <w:rFonts w:ascii="Calibri" w:eastAsia="MS Mincho" w:hAnsi="Calibri" w:cs="Calibri"/>
        </w:rPr>
        <w:t xml:space="preserve"> 2016</w:t>
      </w:r>
      <w:r w:rsidR="00623834">
        <w:rPr>
          <w:rFonts w:ascii="Calibri" w:eastAsia="MS Mincho" w:hAnsi="Calibri" w:cs="Calibri"/>
        </w:rPr>
        <w:t>,</w:t>
      </w:r>
      <w:r w:rsidRPr="088F2921">
        <w:rPr>
          <w:rFonts w:ascii="Calibri" w:eastAsia="MS Mincho" w:hAnsi="Calibri" w:cs="Calibri"/>
        </w:rPr>
        <w:t xml:space="preserve"> p.49).</w:t>
      </w:r>
    </w:p>
    <w:p w14:paraId="4684824F" w14:textId="77777777" w:rsidR="0079774D" w:rsidRPr="00055D66" w:rsidRDefault="0079774D" w:rsidP="0079774D">
      <w:pPr>
        <w:spacing w:line="360" w:lineRule="auto"/>
        <w:rPr>
          <w:rFonts w:ascii="Calibri" w:eastAsia="MS Mincho" w:hAnsi="Calibri" w:cs="Calibri"/>
        </w:rPr>
      </w:pPr>
    </w:p>
    <w:p w14:paraId="6487DC13" w14:textId="3693BB5A"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Males feature prominently in suicide statistics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{"citationItems":[{"id":"ITEM-1","itemData":{"DOI":"10.1007/s00127-016-1324-2","ISSN":"09337954","PMID":"28025691","abstract":"© 2016 Springer-Verlag Berlin HeidelbergPurpose: Males feature prominently in suicide statistics, but relatively little work has been done to date to explore whether endorsement of dominant masculinity norms heightens the risk of or is protective against suicidal thinking. This paper aimed to further knowledge in this area. Methods: We used baseline data from 13,884 men (aged 18–55) in the Australian Longitudinal Study on Male Health (Ten to Men) cohort. These men filled in self-complete questionnaires in 2013/14 which covered a range of topics, including conformity to dominant masculinity norms and suicidal thinking. We conducted logistic regression analyses to estimate the strength of association between these two variables. Results: After controlling for other key predictors of suicidal thinking, one characteristic of dominant masculinity—self-reliance—stood out as a risk factor for suicidal thinking (AOR 1.34; 95% CI 1.26–1.43). Conclusions: It suggests that one particular element of dominant masculinity—being self-reliant—may place men at increased risk of suicidal thinking. This finding resonates with current theories of how suicidal thinking develops and leads to action. It also has implications for the full gamut of suicide prevention approaches that target males in clinical settings and in the general population, and for our broader society. Further work is needed, however, to confirm the direction of the relationship between self-reliance and suicidality, and to unpack the means through which self-reliance may exert an influence.","author":[{"dropping-particle":"","family":"Pirkis","given":"Jane","non-dropping-particle":"","parse-names":false,"suffix":""},{"dropping-particle":"","family":"Spittal","given":"Matthew J.","non-dropping-particle":"","parse-names":false,"suffix":""},{"dropping-particle":"","family":"Keogh","given":"Louise","non-dropping-particle":"","parse-names":false,"suffix":""},{"dropping-particle":"","family":"Mousaferiadis","given":"Tass","non-dropping-particle":"","parse-names":false,"suffix":""},{"dropping-particle":"","family":"Currier","given":"Dianne","non-dropping-particle":"","parse-names":false,"suffix":""}],"container-title":"Social Psychiatry and Psychiatric Epidemiology","id":"ITEM-1","issue":"3","issued":{"date-parts":[["2017"]]},"page":"319-327","publisher":"Springer Berlin Heidelberg","title":"Masculinity and suicidal thinking","type":"article-journal","volume":"52"},"uris":["http://www.mendeley.com/documents/?uuid=edbbc9a2-0563-44a7-8ad6-bdafe3a87788"]}],"mendeley":{"formattedCitation":"(Pirkis &lt;i&gt;et al.&lt;/i&gt;, 2017)","plainTextFormattedCitation":"(Pirkis et al., 2017)","previouslyFormattedCitation":"(Pirkis &lt;i&gt;et al.&lt;/i&gt;,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(Pirkis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0055D66">
        <w:rPr>
          <w:rFonts w:ascii="Calibri" w:eastAsia="MS Mincho" w:hAnsi="Calibri" w:cs="Calibri"/>
          <w:noProof/>
        </w:rPr>
        <w:t xml:space="preserve"> 2017)</w:t>
      </w:r>
      <w:r w:rsidRPr="00055D66">
        <w:rPr>
          <w:rFonts w:ascii="Calibri" w:eastAsia="MS Mincho" w:hAnsi="Calibri" w:cs="Calibri"/>
        </w:rPr>
        <w:fldChar w:fldCharType="end"/>
      </w:r>
      <w:r w:rsidRPr="00055D66">
        <w:rPr>
          <w:rFonts w:ascii="Calibri" w:eastAsia="MS Mincho" w:hAnsi="Calibri" w:cs="Calibri"/>
        </w:rPr>
        <w:t xml:space="preserve">. Analysis of baseline data from 13,884 men (aged 18–55) in the Australian Longitudinal Study on Male Health (Ten to Men) cohort suggests that further work is needed to confirm the direction of the relationship between attitudes towards male self-reliance and suicidality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{"citationItems":[{"id":"ITEM-1","itemData":{"DOI":"10.1007/s00127-016-1324-2","ISSN":"09337954","PMID":"28025691","abstract":"© 2016 Springer-Verlag Berlin HeidelbergPurpose: Males feature prominently in suicide statistics, but relatively little work has been done to date to explore whether endorsement of dominant masculinity norms heightens the risk of or is protective against suicidal thinking. This paper aimed to further knowledge in this area. Methods: We used baseline data from 13,884 men (aged 18–55) in the Australian Longitudinal Study on Male Health (Ten to Men) cohort. These men filled in self-complete questionnaires in 2013/14 which covered a range of topics, including conformity to dominant masculinity norms and suicidal thinking. We conducted logistic regression analyses to estimate the strength of association between these two variables. Results: After controlling for other key predictors of suicidal thinking, one characteristic of dominant masculinity—self-reliance—stood out as a risk factor for suicidal thinking (AOR 1.34; 95% CI 1.26–1.43). Conclusions: It suggests that one particular element of dominant masculinity—being self-reliant—may place men at increased risk of suicidal thinking. This finding resonates with current theories of how suicidal thinking develops and leads to action. It also has implications for the full gamut of suicide prevention approaches that target males in clinical settings and in the general population, and for our broader society. Further work is needed, however, to confirm the direction of the relationship between self-reliance and suicidality, and to unpack the means through which self-reliance may exert an influence.","author":[{"dropping-particle":"","family":"Pirkis","given":"Jane","non-dropping-particle":"","parse-names":false,"suffix":""},{"dropping-particle":"","family":"Spittal","given":"Matthew J.","non-dropping-particle":"","parse-names":false,"suffix":""},{"dropping-particle":"","family":"Keogh","given":"Louise","non-dropping-particle":"","parse-names":false,"suffix":""},{"dropping-particle":"","family":"Mousaferiadis","given":"Tass","non-dropping-particle":"","parse-names":false,"suffix":""},{"dropping-particle":"","family":"Currier","given":"Dianne","non-dropping-particle":"","parse-names":false,"suffix":""}],"container-title":"Social Psychiatry and Psychiatric Epidemiology","id":"ITEM-1","issue":"3","issued":{"date-parts":[["2017"]]},"page":"319-327","publisher":"Springer Berlin Heidelberg","title":"Masculinity and suicidal thinking","type":"article-journal","volume":"52"},"uris":["http://www.mendeley.com/documents/?uuid=edbbc9a2-0563-44a7-8ad6-bdafe3a87788"]}],"mendeley":{"formattedCitation":"(Pirkis &lt;i&gt;et al.&lt;/i&gt;, 2017)","plainTextFormattedCitation":"(Pirkis et al., 2017)","previouslyFormattedCitation":"(Pirkis &lt;i&gt;et al.&lt;/i&gt;,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(Pirkis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0055D66">
        <w:rPr>
          <w:rFonts w:ascii="Calibri" w:eastAsia="MS Mincho" w:hAnsi="Calibri" w:cs="Calibri"/>
          <w:noProof/>
        </w:rPr>
        <w:t xml:space="preserve"> 2017)</w:t>
      </w:r>
      <w:r w:rsidRPr="00055D66">
        <w:rPr>
          <w:rFonts w:ascii="Calibri" w:eastAsia="MS Mincho" w:hAnsi="Calibri" w:cs="Calibri"/>
        </w:rPr>
        <w:fldChar w:fldCharType="end"/>
      </w:r>
      <w:r w:rsidRPr="00055D66">
        <w:rPr>
          <w:rFonts w:ascii="Calibri" w:eastAsia="MS Mincho" w:hAnsi="Calibri" w:cs="Calibri"/>
        </w:rPr>
        <w:t xml:space="preserve">. The literature indicates the importance of taking a holistic view of the behaviours and experiences of young men, and not looking at issues relating to them in a vacuum. </w:t>
      </w:r>
    </w:p>
    <w:p w14:paraId="4B12BAC4" w14:textId="77777777" w:rsidR="0079774D" w:rsidRPr="00055D66" w:rsidRDefault="0079774D" w:rsidP="0079774D">
      <w:pPr>
        <w:spacing w:line="360" w:lineRule="auto"/>
        <w:rPr>
          <w:rFonts w:ascii="Calibri" w:eastAsia="MS Mincho" w:hAnsi="Calibri" w:cs="Calibri"/>
        </w:rPr>
      </w:pPr>
    </w:p>
    <w:p w14:paraId="2893C054" w14:textId="3A069ACC"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In January 2016, another 17-year-old boy in Brighton and Hove committed suicide by hanging. As a child in care, </w:t>
      </w:r>
      <w:r w:rsidR="00301C85">
        <w:rPr>
          <w:rFonts w:ascii="Calibri" w:eastAsia="MS Mincho" w:hAnsi="Calibri" w:cs="Calibri"/>
        </w:rPr>
        <w:t>‘</w:t>
      </w:r>
      <w:r w:rsidRPr="088F2921">
        <w:rPr>
          <w:rFonts w:ascii="Calibri" w:eastAsia="MS Mincho" w:hAnsi="Calibri" w:cs="Calibri"/>
        </w:rPr>
        <w:t>A</w:t>
      </w:r>
      <w:r w:rsidR="00301C85">
        <w:rPr>
          <w:rFonts w:ascii="Calibri" w:eastAsia="MS Mincho" w:hAnsi="Calibri" w:cs="Calibri"/>
        </w:rPr>
        <w:t>’</w:t>
      </w:r>
      <w:r w:rsidRPr="088F2921">
        <w:rPr>
          <w:rFonts w:ascii="Calibri" w:eastAsia="MS Mincho" w:hAnsi="Calibri" w:cs="Calibri"/>
        </w:rPr>
        <w:t xml:space="preserve"> had been exposed to physical and emotional abuse and witnessed domestic violence from an early age. He had anxieties about his ability to transition to a foster placement and semi-independent life (</w:t>
      </w:r>
      <w:r w:rsidR="0080697E">
        <w:rPr>
          <w:rFonts w:ascii="Calibri" w:eastAsia="MS Mincho" w:hAnsi="Calibri" w:cs="Calibri"/>
        </w:rPr>
        <w:t>Smith, 2017</w:t>
      </w:r>
      <w:r w:rsidRPr="088F2921">
        <w:rPr>
          <w:rFonts w:ascii="Calibri" w:eastAsia="MS Mincho" w:hAnsi="Calibri" w:cs="Calibri"/>
        </w:rPr>
        <w:t xml:space="preserve">), and his support needs around transition planning were not met. Although changing policy frameworks, such as the </w:t>
      </w:r>
      <w:r w:rsidRPr="088F2921">
        <w:rPr>
          <w:rFonts w:ascii="Calibri" w:eastAsia="MS Mincho" w:hAnsi="Calibri" w:cs="Calibri"/>
          <w:i/>
          <w:iCs/>
        </w:rPr>
        <w:t>Children (Leaving Care) Act 2000</w:t>
      </w:r>
      <w:r w:rsidRPr="088F2921">
        <w:rPr>
          <w:rFonts w:ascii="Calibri" w:eastAsia="MS Mincho" w:hAnsi="Calibri" w:cs="Calibri"/>
        </w:rPr>
        <w:t xml:space="preserve">, give increased priority to the health, well-being and outcomes of young people leaving care, research indicates that substantial improvements to the health and well-being of care-leavers are much needed. Transition is referred to as a process, not a single event In the Department of Health document ‘Transition: Getting it right for young people’ (2006). Improved care may, in part, be achieved through ‘well- planned transitions and effective and consistent after- care support’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{"citationItems":[{"id":"ITEM-1","itemData":{"DOI":"10.1111/j.1365-2206.2007.00538.x","ISBN":"1356-7500\\r1365-2206","ISSN":"13567500","abstract":"This paper focuses on the health and well-being of young people making the transition from care to independent adulthood. It draws on findings from a wider study of outcomes for young people leaving care in England. Notably, the study used, as its key outcome indicators, measures of general and mental well-being. In doing so, it was able to explore the interrelationship between these areas and young people's overall progress after care. The paper explores the extent to which young people experience difficulties related to physical and mental health, disability and emotional and behavioural problems. It will show that such difficulties can impact upon and be influenced by overall well-being and post-care progress in more traditional outcome areas such accommodation and career, and will suggest that the transition from care itself can adversely affect health and well-being. The paper considers these issues within the context of a changing policy framework which has given increased priority to the health and well-being of young people in and leaving care, particularly in light of the Children (Leaving Care) Act 2000. It considers the ways that young people are supported to address health and well-being and the implications for and impact on leaving care services.","author":[{"dropping-particle":"","family":"Dixon","given":"Jo","non-dropping-particle":"","parse-names":false,"suffix":""}],"container-title":"Child and Family Social Work","id":"ITEM-1","issue":"2","issued":{"date-parts":[["2008"]]},"page":"207-217","title":"Young people leaving care: Health, well-being and outcomes","type":"article-journal","volume":"13"},"locator":"213","uris":["http://www.mendeley.com/documents/?uuid=79770264-feef-4098-95b4-a4a819611129"]}],"mendeley":{"formattedCitation":"(Dixon, 2008, p. 213)","plainTextFormattedCitation":"(Dixon, 2008, p. 213)","previouslyFormattedCitation":"(Dixon, 2008, p. 213)"},"properties":{"noteIndex":0},"schema":"https://github.com/citation-style-language/schema/raw/master/csl-citation.json"}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(Dixon, 2008, p.213)</w:t>
      </w:r>
      <w:r w:rsidRPr="088F2921">
        <w:rPr>
          <w:rFonts w:ascii="Calibri" w:eastAsia="MS Mincho" w:hAnsi="Calibri" w:cs="Calibri"/>
        </w:rPr>
        <w:fldChar w:fldCharType="end"/>
      </w:r>
      <w:r w:rsidRPr="088F2921">
        <w:rPr>
          <w:rFonts w:ascii="Calibri" w:eastAsia="MS Mincho" w:hAnsi="Calibri" w:cs="Calibri"/>
        </w:rPr>
        <w:t>.</w:t>
      </w:r>
      <w:r w:rsidR="00B07248" w:rsidRPr="088F2921">
        <w:rPr>
          <w:rFonts w:ascii="Calibri" w:eastAsia="MS Mincho" w:hAnsi="Calibri" w:cs="Calibri"/>
        </w:rPr>
        <w:t xml:space="preserve"> </w:t>
      </w:r>
      <w:r w:rsidR="00301C85" w:rsidRPr="088F2921">
        <w:rPr>
          <w:rFonts w:ascii="Calibri" w:eastAsia="MS Mincho" w:hAnsi="Calibri" w:cs="Calibri"/>
        </w:rPr>
        <w:t>This remain a common concern with the ‘cliff edge’ of support from Children’s Services ending and a far less supportive package being put in its place by Adult Services (</w:t>
      </w:r>
      <w:r w:rsidR="00301C85">
        <w:rPr>
          <w:rFonts w:ascii="Calibri" w:eastAsia="MS Mincho" w:hAnsi="Calibri" w:cs="Calibri"/>
        </w:rPr>
        <w:t xml:space="preserve">Holmstrom, in </w:t>
      </w:r>
      <w:r w:rsidR="00301C85" w:rsidRPr="088F2921">
        <w:rPr>
          <w:rFonts w:ascii="Calibri" w:eastAsia="MS Mincho" w:hAnsi="Calibri" w:cs="Calibri"/>
        </w:rPr>
        <w:t>Braye and Preston-</w:t>
      </w:r>
      <w:proofErr w:type="gramStart"/>
      <w:r w:rsidR="00301C85" w:rsidRPr="088F2921">
        <w:rPr>
          <w:rFonts w:ascii="Calibri" w:eastAsia="MS Mincho" w:hAnsi="Calibri" w:cs="Calibri"/>
        </w:rPr>
        <w:t>Shoot</w:t>
      </w:r>
      <w:r w:rsidR="00301C85">
        <w:rPr>
          <w:rFonts w:ascii="Calibri" w:eastAsia="MS Mincho" w:hAnsi="Calibri" w:cs="Calibri"/>
        </w:rPr>
        <w:t>,</w:t>
      </w:r>
      <w:r w:rsidR="00301C85" w:rsidRPr="088F2921">
        <w:rPr>
          <w:rFonts w:ascii="Calibri" w:eastAsia="MS Mincho" w:hAnsi="Calibri" w:cs="Calibri"/>
        </w:rPr>
        <w:t xml:space="preserve">  2020</w:t>
      </w:r>
      <w:proofErr w:type="gramEnd"/>
      <w:r w:rsidR="00301C85" w:rsidRPr="088F2921">
        <w:rPr>
          <w:rFonts w:ascii="Calibri" w:eastAsia="MS Mincho" w:hAnsi="Calibri" w:cs="Calibri"/>
        </w:rPr>
        <w:t xml:space="preserve">).  </w:t>
      </w:r>
    </w:p>
    <w:p w14:paraId="47462929" w14:textId="77777777" w:rsidR="0079774D" w:rsidRPr="00055D66" w:rsidRDefault="0079774D" w:rsidP="0079774D">
      <w:pPr>
        <w:spacing w:line="360" w:lineRule="auto"/>
        <w:rPr>
          <w:rFonts w:ascii="Calibri" w:eastAsia="MS Mincho" w:hAnsi="Calibri" w:cs="Calibri"/>
        </w:rPr>
      </w:pPr>
    </w:p>
    <w:p w14:paraId="69A5F125" w14:textId="4DD97B0D"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It is often the case that a young person’s state of mind is not obvious to those around them. ‘Amongst those who knew ‘A’ well and cared greatly about him, neither professionals nor family had identified that he was thinking about self-harm around the time of his death’ (</w:t>
      </w:r>
      <w:r w:rsidR="0080697E">
        <w:rPr>
          <w:rFonts w:ascii="Calibri" w:eastAsia="MS Mincho" w:hAnsi="Calibri" w:cs="Calibri"/>
        </w:rPr>
        <w:t xml:space="preserve">Smith, 2017, </w:t>
      </w:r>
      <w:r w:rsidRPr="00055D66">
        <w:rPr>
          <w:rFonts w:ascii="Calibri" w:eastAsia="MS Mincho" w:hAnsi="Calibri" w:cs="Calibri"/>
        </w:rPr>
        <w:t xml:space="preserve">p.1). Further work is needed understand the relationship between attitudes towards male self-reliance and suicidality (Pirkis </w:t>
      </w:r>
      <w:r w:rsidR="0080697E" w:rsidRPr="0080697E">
        <w:rPr>
          <w:rFonts w:ascii="Calibri" w:eastAsia="MS Mincho" w:hAnsi="Calibri" w:cs="Calibri"/>
          <w:i/>
          <w:iCs/>
        </w:rPr>
        <w:t>et al.,</w:t>
      </w:r>
      <w:r w:rsidRPr="00055D66">
        <w:rPr>
          <w:rFonts w:ascii="Calibri" w:eastAsia="MS Mincho" w:hAnsi="Calibri" w:cs="Calibri"/>
        </w:rPr>
        <w:t xml:space="preserve"> 2017).</w:t>
      </w:r>
    </w:p>
    <w:p w14:paraId="1E20FDD2" w14:textId="77777777" w:rsidR="0079774D" w:rsidRPr="00055D66" w:rsidRDefault="0079774D" w:rsidP="0079774D">
      <w:pPr>
        <w:spacing w:line="360" w:lineRule="auto"/>
        <w:rPr>
          <w:rFonts w:ascii="Calibri" w:eastAsia="MS Mincho" w:hAnsi="Calibri" w:cs="Calibri"/>
        </w:rPr>
      </w:pPr>
    </w:p>
    <w:p w14:paraId="72B631E9" w14:textId="2B52836E"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In recent years, academics and policymakers in England have become progressively concerned with the scale of physical, sexual and emotional abuse in young people</w:t>
      </w:r>
      <w:r w:rsidR="00301C85">
        <w:rPr>
          <w:rFonts w:ascii="Calibri" w:eastAsia="MS Mincho" w:hAnsi="Calibri" w:cs="Calibri"/>
        </w:rPr>
        <w:t>’</w:t>
      </w:r>
      <w:r w:rsidRPr="00055D66">
        <w:rPr>
          <w:rFonts w:ascii="Calibri" w:eastAsia="MS Mincho" w:hAnsi="Calibri" w:cs="Calibri"/>
        </w:rPr>
        <w:t xml:space="preserve">s relationships and peer groups between young people of a similar age. Research implies that peer-on-peer abuse is a gendered phenomenon (e.g., Barter </w:t>
      </w:r>
      <w:r w:rsidR="0080697E" w:rsidRPr="0080697E">
        <w:rPr>
          <w:rFonts w:ascii="Calibri" w:eastAsia="MS Mincho" w:hAnsi="Calibri" w:cs="Calibri"/>
          <w:i/>
          <w:iCs/>
        </w:rPr>
        <w:t>et al.,</w:t>
      </w:r>
      <w:r w:rsidR="0080697E">
        <w:rPr>
          <w:rFonts w:ascii="Calibri" w:eastAsia="MS Mincho" w:hAnsi="Calibri" w:cs="Calibri"/>
        </w:rPr>
        <w:t xml:space="preserve"> </w:t>
      </w:r>
      <w:r w:rsidRPr="00055D66">
        <w:rPr>
          <w:rFonts w:ascii="Calibri" w:eastAsia="MS Mincho" w:hAnsi="Calibri" w:cs="Calibri"/>
        </w:rPr>
        <w:t xml:space="preserve">2009), differently impacting young men and young women. Research into young men in Northern Ireland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{"citationItems":[{"id":"ITEM-1","itemData":{"DOI":"10.1177/1473225414549696","ISSN":"17476283","abstract":"Statistics reveal that young men from working class communities are over-represented amongst victims of the Northern Ireland Troubles, suicides, crime, school suspensions, expulsions and academic underachievement. Despite a new political context of peacebuilding the relationship between violence and personal safety continues to be critical to marginalized young men’s everyday lives and experiences. Drawing upon primary research from a five year longitudinal study and previous studies carried out by the Centre for Young Men’s Studies, this article provides a critical analysis of young men born after the 1994 ceasefires, capturing their sense of alienation, perceived normality of violence, unwelcomed interactions with paramilitary members and restrictive notions of masculinity. These factors combined with attitudes of suspicion and distrust surrounding the role of the police leaves young men feeling confused about law and youth justice. This article argues the need for a more relevant school curriculum informed by, and aimed specifically at, engaging young men through a youth work methodology addressing the themes of youth justice, violence and masculinity. The authors acknowledge that whilst addressing the behaviour of certain young men can be very challenging, there is a need for those working with young men to more proactively engage young men through a ‘Balanced Approach’ of collaborative working between formal, informal and non-formal education.","author":[{"dropping-particle":"","family":"Harland","given":"Ken","non-dropping-particle":"","parse-names":false,"suffix":""},{"dropping-particle":"","family":"McCready","given":"Sam","non-dropping-particle":"","parse-names":false,"suffix":""}],"container-title":"Youth Justice","id":"ITEM-1","issue":"3","issued":{"date-parts":[["2014"]]},"page":"269-283","title":"Rough Justice: Considerations on the Role of Violence, Masculinity, and the Alienation of Young Men in Communities and Peacebuilding Processes in Northern Ireland","type":"article-journal","volume":"14"},"uris":["http://www.mendeley.com/documents/?uuid=5370e693-4095-42b4-a1dd-305548fa224b"]}],"mendeley":{"formattedCitation":"(Harland and McCready, 2014)","plainTextFormattedCitation":"(Harland and McCready, 2014)","previouslyFormattedCitation":"(Harland and McCready, 2014)"},"properties":{"noteIndex":0},"schema":"https://github.com/citation-style-language/schema/raw/master/csl-citation.json"}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(Harland and McCready, 2014)</w:t>
      </w:r>
      <w:r w:rsidRPr="00055D66">
        <w:rPr>
          <w:rFonts w:ascii="Calibri" w:eastAsia="MS Mincho" w:hAnsi="Calibri" w:cs="Calibri"/>
        </w:rPr>
        <w:fldChar w:fldCharType="end"/>
      </w:r>
      <w:r w:rsidRPr="00055D66">
        <w:rPr>
          <w:rFonts w:ascii="Calibri" w:eastAsia="MS Mincho" w:hAnsi="Calibri" w:cs="Calibri"/>
        </w:rPr>
        <w:t xml:space="preserve"> draws on statistics indicating that young men from working class communities are over-represented </w:t>
      </w:r>
      <w:r w:rsidRPr="00055D66">
        <w:rPr>
          <w:rFonts w:ascii="Calibri" w:eastAsia="MS Mincho" w:hAnsi="Calibri" w:cs="Calibri"/>
        </w:rPr>
        <w:lastRenderedPageBreak/>
        <w:t xml:space="preserve">amongst victims of the Northern Ireland troubles, suicides, crime, school suspensions, expulsions and academic underachievement. ﻿Across the globe those in prisons and caught up in the criminal justice system are predominantly male. ﻿In general population, men are reported to commit violent acts significantly more frequently than women, ﻿and the literature often indicates than men choose more outward directed ways of aggression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{"citationItems":[{"id":"ITEM-1","itemData":{"DOI":"10.1016/j.sbspro.2012.01.279","ISSN":"18770428","abstract":"Violence is a ubiquitous phenomenon, which has been part of the experience of humanity since its inception. Violence has classically been viewed as being associated with being male. In general population, men are reported to commit violent acts significantly more frequently than women. As the interdisciplinary research data point to, violence is a complex phenomenon that could be approached from different perspectives, such as social, economic, political, religious, biological, and genetic. We hereby provide a review of the neurobiological mechanisms underlying the gender distinctions in violence and aggression in both general and psychiatric population.","author":[{"dropping-particle":"","family":"Staniloiu","given":"Angelica","non-dropping-particle":"","parse-names":false,"suffix":""},{"dropping-particle":"","family":"Markowitsch","given":"Hans","non-dropping-particle":"","parse-names":false,"suffix":""}],"container-title":"Procedia - Social and Behavioral Sciences","id":"ITEM-1","issued":{"date-parts":[["2012"]]},"page":"1032-1036","title":"Gender differences in violence and aggression - A neurobiological perspective","type":"article-journal","volume":"33"},"uris":["http://www.mendeley.com/documents/?uuid=2f526008-b278-434c-b84d-441906503360"]}],"mendeley":{"formattedCitation":"(Staniloiu and Markowitsch, 2012)","plainTextFormattedCitation":"(Staniloiu and Markowitsch, 2012)","previouslyFormattedCitation":"(Staniloiu and Markowitsch, 2012)"},"properties":{"noteIndex":0},"schema":"https://github.com/citation-style-language/schema/raw/master/csl-citation.json"}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(Staniloiu and Markowitsch, 2012)</w:t>
      </w:r>
      <w:r w:rsidRPr="00055D66">
        <w:rPr>
          <w:rFonts w:ascii="Calibri" w:eastAsia="MS Mincho" w:hAnsi="Calibri" w:cs="Calibri"/>
        </w:rPr>
        <w:fldChar w:fldCharType="end"/>
      </w:r>
      <w:r w:rsidRPr="00055D66">
        <w:rPr>
          <w:rFonts w:ascii="Calibri" w:eastAsia="MS Mincho" w:hAnsi="Calibri" w:cs="Calibri"/>
        </w:rPr>
        <w:t xml:space="preserve">. However, less is known about why so many males regard violence as ‘a legitimate way to deal with conflict’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10.1360/zd-2013-43-6-1064","ISBN":"2013436106","author":[{"dropping-particle":"","family":"Harland","given":"K","non-dropping-particle":"","parse-names":false,"suffix":""},{"dropping-particle":"","family":"McCreedy","given":"S","non-dropping-particle":"","parse-names":false,"suffix":""}],"id":"ITEM-1","issued":{"date-parts":[["2015"]]},"number-of-pages":"1-6","title":"Boys, Young Men and Violence; Masculinities, Young Men and Practice","type":"book"},"locator":"4","uris":["http://www.mendeley.com/documents/?uuid=caa7f34b-68f2-4330-b30a-911a4a7a2be6"]}],"mendeley":{"formattedCitation":"(K Harland and McCreedy, 2015, p. 4)","plainTextFormattedCitation":"(K Harland and McCreedy, 2015, p. 4)","previouslyFormattedCitation":"(K Harland and McCreedy, 2015, p. 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(Harland and McCre</w:t>
      </w:r>
      <w:r w:rsidR="0080697E">
        <w:rPr>
          <w:rFonts w:ascii="Calibri" w:eastAsia="MS Mincho" w:hAnsi="Calibri" w:cs="Calibri"/>
          <w:noProof/>
        </w:rPr>
        <w:t>a</w:t>
      </w:r>
      <w:r w:rsidRPr="00055D66">
        <w:rPr>
          <w:rFonts w:ascii="Calibri" w:eastAsia="MS Mincho" w:hAnsi="Calibri" w:cs="Calibri"/>
          <w:noProof/>
        </w:rPr>
        <w:t>dy, 2015, p.4)</w:t>
      </w:r>
      <w:r w:rsidRPr="00055D66">
        <w:rPr>
          <w:rFonts w:ascii="Calibri" w:eastAsia="MS Mincho" w:hAnsi="Calibri" w:cs="Calibri"/>
        </w:rPr>
        <w:fldChar w:fldCharType="end"/>
      </w:r>
      <w:r w:rsidRPr="00055D66">
        <w:rPr>
          <w:rFonts w:ascii="Calibri" w:eastAsia="MS Mincho" w:hAnsi="Calibri" w:cs="Calibri"/>
        </w:rPr>
        <w:t xml:space="preserve">. Although ﻿insights into the neurobiological underpinnings of gender differences in violence can prove useful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{"citationItems":[{"id":"ITEM-1","itemData":{"DOI":"10.1016/j.sbspro.2012.01.279","ISSN":"18770428","abstract":"Violence is a ubiquitous phenomenon, which has been part of the experience of humanity since its inception. Violence has classically been viewed as being associated with being male. In general population, men are reported to commit violent acts significantly more frequently than women. As the interdisciplinary research data point to, violence is a complex phenomenon that could be approached from different perspectives, such as social, economic, political, religious, biological, and genetic. We hereby provide a review of the neurobiological mechanisms underlying the gender distinctions in violence and aggression in both general and psychiatric population.","author":[{"dropping-particle":"","family":"Staniloiu","given":"Angelica","non-dropping-particle":"","parse-names":false,"suffix":""},{"dropping-particle":"","family":"Markowitsch","given":"Hans","non-dropping-particle":"","parse-names":false,"suffix":""}],"container-title":"Procedia - Social and Behavioral Sciences","id":"ITEM-1","issued":{"date-parts":[["2012"]]},"page":"1032-1036","title":"Gender differences in violence and aggression - A neurobiological perspective","type":"article-journal","volume":"33"},"uris":["http://www.mendeley.com/documents/?uuid=2f526008-b278-434c-b84d-441906503360"]}],"mendeley":{"formattedCitation":"(Staniloiu and Markowitsch, 2012)","plainTextFormattedCitation":"(Staniloiu and Markowitsch, 2012)","previouslyFormattedCitation":"(Staniloiu and Markowitsch, 2012)"},"properties":{"noteIndex":0},"schema":"https://github.com/citation-style-language/schema/raw/master/csl-citation.json"}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(Staniloiu and Markowitsch, 2012)</w:t>
      </w:r>
      <w:r w:rsidRPr="00055D66">
        <w:rPr>
          <w:rFonts w:ascii="Calibri" w:eastAsia="MS Mincho" w:hAnsi="Calibri" w:cs="Calibri"/>
        </w:rPr>
        <w:fldChar w:fldCharType="end"/>
      </w:r>
      <w:r w:rsidRPr="00055D66">
        <w:rPr>
          <w:rFonts w:ascii="Calibri" w:eastAsia="MS Mincho" w:hAnsi="Calibri" w:cs="Calibri"/>
        </w:rPr>
        <w:t xml:space="preserve">, violence is widely recognised to be a complex phenomenon influenced by a range of social, economic, political, religious, biological, and genetic factors.  </w:t>
      </w:r>
    </w:p>
    <w:p w14:paraId="52A5A291" w14:textId="77777777" w:rsidR="0079774D" w:rsidRPr="00055D66" w:rsidRDefault="0079774D" w:rsidP="0079774D">
      <w:pPr>
        <w:spacing w:line="360" w:lineRule="auto"/>
        <w:rPr>
          <w:rFonts w:ascii="Calibri" w:eastAsia="MS Mincho" w:hAnsi="Calibri" w:cs="Calibri"/>
        </w:rPr>
      </w:pPr>
    </w:p>
    <w:p w14:paraId="375A764F"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Differences in responses to intrafamilial childhood abuse and neglect may be gendered, as indicated by qualitative research with nine women and four men Moulding (2018). Gendered differences in adult behaviours were identified as a consequence of childhood emotional abuse.  More emphasis emerged from women’s narratives on ‘internalising’ problems such as shame, guilt, and self-blame, anxiety, depression, eating disorders, self-harm, and dissociation. Whilst two of the men had struggled with their mental health, ‘the so-called externalizing practices of emotional detachment and anger toward abusers were also common to all the men’s narratives and almost entirely absent from the women’s’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{"citationItems":[{"id":"ITEM-1","itemData":{"DOI":"10.1177/0886109917729665","ISSN":"0886-1099","abstract":"Childhood emotional abuse (CEA) is the most common and psychologically harmful form of child abuse. While there has been attention to how gender discourses and power relations frame other forms of interpersonal violence and abuse, there has been no research into the gendered dimensions of CEA. This article reports on the findings from a qualitative interview study with men who have these backgrounds. The study was framed by a poststructural feminist understanding of gender, discourse, and power and R. W. Connell’s concept of hegemonic masculinity and social practices of gender. Narrative-discursive analysis revealed a powerful discourse about “becoming a better man” in spite of abuse through practices of hegemonic masculinity, particularly the control of emotion and prevailing over abusers. The article considers the positive and negative implications for abused men’s subjectivities as well as those for women and wider gender power relations. The article also considers gender-aware approaches for social workers and other professionals working with individuals who have these backgrounds.","author":[{"dropping-particle":"","family":"Moulding","given":"Nicole","non-dropping-particle":"","parse-names":false,"suffix":""}],"container-title":"Affilia: Journal of Women &amp; Social Work","id":"ITEM-1","issue":"1","issued":{"date-parts":[["2018"]]},"page":"39-55","title":"“Becoming a Better Man”.","type":"article-journal","volume":"33"},"locator":"51","uris":["http://www.mendeley.com/documents/?uuid=85fde308-752b-41eb-a4fa-79f4c5634a57"]}],"mendeley":{"formattedCitation":"(Moulding, 2018, p. 51)","plainTextFormattedCitation":"(Moulding, 2018, p. 51)","previouslyFormattedCitation":"(Moulding, 2018, p. 51)"},"properties":{"noteIndex":0},"schema":"https://github.com/citation-style-language/schema/raw/master/csl-citation.json"}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(Moulding, 2018, p. 51)</w:t>
      </w:r>
      <w:r w:rsidRPr="00055D66">
        <w:rPr>
          <w:rFonts w:ascii="Calibri" w:eastAsia="MS Mincho" w:hAnsi="Calibri" w:cs="Calibri"/>
        </w:rPr>
        <w:fldChar w:fldCharType="end"/>
      </w:r>
      <w:r w:rsidRPr="00055D66">
        <w:rPr>
          <w:rFonts w:ascii="Calibri" w:eastAsia="MS Mincho" w:hAnsi="Calibri" w:cs="Calibri"/>
        </w:rPr>
        <w:t xml:space="preserve">. </w:t>
      </w:r>
    </w:p>
    <w:p w14:paraId="2479822D" w14:textId="77777777" w:rsidR="0079774D" w:rsidRPr="00055D66" w:rsidRDefault="0079774D" w:rsidP="0079774D">
      <w:pPr>
        <w:spacing w:line="360" w:lineRule="auto"/>
        <w:rPr>
          <w:rFonts w:ascii="Calibri" w:eastAsia="MS Mincho" w:hAnsi="Calibri" w:cs="Calibri"/>
        </w:rPr>
      </w:pPr>
    </w:p>
    <w:p w14:paraId="6483CB24" w14:textId="77777777"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Locally, the YMCA WiSE report (Amor, 2017) into the sexual exploitation of boys and young men in Brighton and Hove and East Sussex, highlights the lack of knowledge and understanding among children, young people and adults into child sexual exploitation (CSE) generally, and more specifically into young men’s experiences of CSE. Shame, fear of bias and reports not believed and of statutory services becoming involved all are note as barriers to young men reporting or seeking help. The report refers particularly to boys and young men wanting </w:t>
      </w:r>
      <w:r w:rsidRPr="088F2921">
        <w:rPr>
          <w:rFonts w:ascii="Calibri" w:eastAsia="MS Mincho" w:hAnsi="Calibri" w:cs="Calibri"/>
        </w:rPr>
        <w:lastRenderedPageBreak/>
        <w:t>confidential service support in the form of trusting, consistent relationships with practitioners, with support being extended as long it is needed.</w:t>
      </w:r>
    </w:p>
    <w:p w14:paraId="2F151944" w14:textId="77777777" w:rsidR="0079774D" w:rsidRPr="00055D66" w:rsidRDefault="0079774D" w:rsidP="0079774D">
      <w:pPr>
        <w:spacing w:line="360" w:lineRule="auto"/>
        <w:rPr>
          <w:rFonts w:ascii="Calibri" w:eastAsia="MS Mincho" w:hAnsi="Calibri" w:cs="Calibri"/>
        </w:rPr>
      </w:pPr>
    </w:p>
    <w:p w14:paraId="577722D6" w14:textId="7AE84C02" w:rsidR="0079774D" w:rsidRPr="008A4D45" w:rsidRDefault="0079774D" w:rsidP="0079774D">
      <w:pPr>
        <w:spacing w:line="360" w:lineRule="auto"/>
        <w:rPr>
          <w:rFonts w:ascii="Calibri" w:eastAsia="MS Mincho" w:hAnsi="Calibri" w:cs="Calibri"/>
          <w:i/>
          <w:iCs/>
        </w:rPr>
      </w:pPr>
      <w:r w:rsidRPr="008A4D45">
        <w:rPr>
          <w:rFonts w:ascii="Calibri" w:eastAsia="MS Mincho" w:hAnsi="Calibri" w:cs="Calibri"/>
          <w:i/>
          <w:iCs/>
        </w:rPr>
        <w:t>2.2</w:t>
      </w:r>
      <w:r w:rsidR="00114D69">
        <w:rPr>
          <w:rFonts w:ascii="Calibri" w:eastAsia="MS Mincho" w:hAnsi="Calibri" w:cs="Calibri"/>
          <w:i/>
          <w:iCs/>
        </w:rPr>
        <w:t>.7</w:t>
      </w:r>
      <w:r w:rsidRPr="008A4D45">
        <w:rPr>
          <w:rFonts w:ascii="Calibri" w:eastAsia="MS Mincho" w:hAnsi="Calibri" w:cs="Calibri"/>
          <w:i/>
          <w:iCs/>
        </w:rPr>
        <w:t xml:space="preserve"> Alcohol and substance use</w:t>
      </w:r>
    </w:p>
    <w:p w14:paraId="1080637B" w14:textId="7A224F74"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National statistics reveal that boys and young men represent two thirds of young people under 18 years in drug and alcohol treatment services in England over the period April 2018 to March 2019 (Public Health England, 2019). Cannabis </w:t>
      </w:r>
      <w:r w:rsidR="6038B6AB" w:rsidRPr="088F2921">
        <w:rPr>
          <w:rFonts w:ascii="Calibri" w:eastAsia="MS Mincho" w:hAnsi="Calibri" w:cs="Calibri"/>
        </w:rPr>
        <w:t>was</w:t>
      </w:r>
      <w:r w:rsidRPr="088F2921">
        <w:rPr>
          <w:rFonts w:ascii="Calibri" w:eastAsia="MS Mincho" w:hAnsi="Calibri" w:cs="Calibri"/>
        </w:rPr>
        <w:t xml:space="preserve"> the most commonly referred to substance referred to (88% of all in treatment, either as primary or adjunctive substance). Education, youth/criminal justice and social care (in that order) are noted as the most common referral routes to treatment. Research suggests a ‘link between masculine norms and drinking </w:t>
      </w:r>
      <w:r w:rsidR="00301C85" w:rsidRPr="088F2921">
        <w:rPr>
          <w:rFonts w:ascii="Calibri" w:eastAsia="MS Mincho" w:hAnsi="Calibri" w:cs="Calibri"/>
        </w:rPr>
        <w:t>behaviours</w:t>
      </w:r>
      <w:r w:rsidRPr="088F2921">
        <w:rPr>
          <w:rFonts w:ascii="Calibri" w:eastAsia="MS Mincho" w:hAnsi="Calibri" w:cs="Calibri"/>
        </w:rPr>
        <w:t xml:space="preserve"> and related consequences’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{"citationItems":[{"id":"ITEM-1","itemData":{"DOI":"10.1037/men0000064","ISBN":"1524-9220\\r1939-151X","ISSN":"15249220","abstract":"Research suggests a link between masculine norms and drinking behaviors and related consequences; however, the mechanisms of risk are not well understood, particularly with respect to drinking games. The present study helps bridge the masculinity and alcohol use literatures by examining the mechanisms by which certain masculine norms (i.e., winning, risk taking, heterosexual presentation, power over women, and playboy norms) are directly associated with drinking game behaviors and consequences, and indirectly by way of increased motivations to play drinking games for competition reasons, for enhance- ment/thrills, and/or to sexually manipulate others. Participants completed anonymous self-report surveys and consisted of young adult men who were current drinkers and drinking gamers (N?905). Controlling for typical alcohol use on nondrinking game occasions, results indicated that certain masculine norms (i.e., heterosexual presentation, risk taking, and power over women) were directly associated with drinking game behaviors and/or consequences. Consistent with motivational models of alcohol use, conformity to masculine norms was also indirectly related to drinking game behaviors and consequences through their associations with specific drinking game motives. Both power over women and playboy norms were indirectly related to negative drinking game consequences through their positive associations with sexual manipulation motives. In addition, risk taking, winning, and playboy norms were indirectly related to drinking game behaviors and related consequences by way of increased endorsement of enhancement/thrills motives. Finally, risk taking, winning, and power over women were indirectly related to drinking game frequency through their positive associations with competition motives. Implications for intervention and future research are discussed.","author":[{"dropping-particle":"","family":"Zamboanga","given":"Byron L.","non-dropping-particle":"","parse-names":false,"suffix":""},{"dropping-particle":"","family":"Audley","given":"Shannon","non-dropping-particle":"","parse-names":false,"suffix":""},{"dropping-particle":"","family":"Iwamoto","given":"Derek K.","non-dropping-particle":"","parse-names":false,"suffix":""},{"dropping-particle":"","family":"Martin","given":"Jessica L.","non-dropping-particle":"","parse-names":false,"suffix":""},{"dropping-particle":"","family":"Tomaso","given":"Cara C.","non-dropping-particle":"","parse-names":false,"suffix":""}],"container-title":"Psychology of Men and Masculinity","id":"ITEM-1","issue":"4","issued":{"date-parts":[["2017"]]},"page":"280-292","title":"The risks of being \"Manly\": Masculine norms and drinking game motives, behaviors, and related consequences among men","type":"article-journal","volume":"18"},"locator":"280","uris":["http://www.mendeley.com/documents/?uuid=83990915-1919-4717-af6b-7185442c2603"]}],"mendeley":{"formattedCitation":"(Zamboanga &lt;i&gt;et al.&lt;/i&gt;, 2017, p. 280)","plainTextFormattedCitation":"(Zamboanga et al., 2017, p. 280)","previouslyFormattedCitation":"(Zamboanga &lt;i&gt;et al.&lt;/i&gt;, 2017, p. 280)"},"properties":{"noteIndex":0},"schema":"https://github.com/citation-style-language/schema/raw/master/csl-citation.json"}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(Zamboanga </w:t>
      </w:r>
      <w:r w:rsidR="0080697E" w:rsidRPr="0080697E">
        <w:rPr>
          <w:rFonts w:ascii="Calibri" w:eastAsia="MS Mincho" w:hAnsi="Calibri" w:cs="Calibri"/>
          <w:i/>
          <w:iCs/>
          <w:noProof/>
        </w:rPr>
        <w:t>et al</w:t>
      </w:r>
      <w:r w:rsidR="0080697E">
        <w:rPr>
          <w:rFonts w:ascii="Calibri" w:eastAsia="MS Mincho" w:hAnsi="Calibri" w:cs="Calibri"/>
          <w:noProof/>
        </w:rPr>
        <w:t>.,</w:t>
      </w:r>
      <w:r w:rsidRPr="088F2921">
        <w:rPr>
          <w:rFonts w:ascii="Calibri" w:eastAsia="MS Mincho" w:hAnsi="Calibri" w:cs="Calibri"/>
          <w:noProof/>
        </w:rPr>
        <w:t xml:space="preserve"> 2017, p. 280)</w:t>
      </w:r>
      <w:r w:rsidRPr="088F2921">
        <w:rPr>
          <w:rFonts w:ascii="Calibri" w:eastAsia="MS Mincho" w:hAnsi="Calibri" w:cs="Calibri"/>
        </w:rPr>
        <w:fldChar w:fldCharType="end"/>
      </w:r>
      <w:r w:rsidRPr="088F2921">
        <w:rPr>
          <w:rFonts w:ascii="Calibri" w:eastAsia="MS Mincho" w:hAnsi="Calibri" w:cs="Calibri"/>
        </w:rPr>
        <w:t xml:space="preserve">, but less is understood about ‘the mechanisms of risk’ in relation to masculinity. </w:t>
      </w:r>
    </w:p>
    <w:p w14:paraId="28752334" w14:textId="77777777" w:rsidR="0079774D" w:rsidRPr="00055D66" w:rsidRDefault="0079774D" w:rsidP="0079774D">
      <w:pPr>
        <w:spacing w:line="360" w:lineRule="auto"/>
        <w:rPr>
          <w:rFonts w:ascii="Calibri" w:eastAsia="MS Mincho" w:hAnsi="Calibri" w:cs="Calibri"/>
        </w:rPr>
      </w:pPr>
    </w:p>
    <w:p w14:paraId="30D43A3D" w14:textId="494A6A5D"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﻿Binge drinking represents a major clinical and public health concern in young people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1359105316667795","ISSN":"1359-1053","author":[{"dropping-particle":"","family":"Giannantonio","given":"Massimo","non-dropping-particle":"Di","parse-names":false,"suffix":""},{"dropping-particle":"","family":"Carlucci","given":"Leonardo","non-dropping-particle":"","parse-names":false,"suffix":""},{"dropping-particle":"","family":"Volpe","given":"Umberto","non-dropping-particle":"","parse-names":false,"suffix":""},{"dropping-particle":"","family":"Acciavatti","given":"Tiziano","non-dropping-particle":"","parse-names":false,"suffix":""},{"dropping-particle":"","family":"Lupi","given":"Matteo","non-dropping-particle":"","parse-names":false,"suffix":""},{"dropping-particle":"","family":"Cinosi","given":"Eduardo","non-dropping-particle":"","parse-names":false,"suffix":""},{"dropping-particle":"","family":"Sarchione","given":"Fabiola","non-dropping-particle":"","parse-names":false,"suffix":""},{"dropping-particle":"","family":"Santacroce","given":"Rita","non-dropping-particle":"","parse-names":false,"suffix":""},{"dropping-particle":"","family":"Petruccelli","given":"Irene","non-dropping-particle":"","parse-names":false,"suffix":""},{"dropping-particle":"","family":"Leggio","given":"Lorenzo","non-dropping-particle":"","parse-names":false,"suffix":""},{"dropping-particle":"","family":"Nanni","given":"Maria G","non-dropping-particle":"","parse-names":false,"suffix":""},{"dropping-particle":"","family":"Verrastro","given":"Valeria","non-dropping-particle":"","parse-names":false,"suffix":""},{"dropping-particle":"","family":"Janiri","given":"Luigi","non-dropping-particle":"","parse-names":false,"suffix":""},{"dropping-particle":"","family":"Diotaiuti","given":"Pierluigi","non-dropping-particle":"","parse-names":false,"suffix":""},{"dropping-particle":"","family":"Martinotti","given":"Giovanni","non-dropping-particle":"","parse-names":false,"suffix":""},{"dropping-particle":"","family":"Ferrari","given":"Silvia","non-dropping-particle":"","parse-names":false,"suffix":""},{"dropping-particle":"","family":"Saggino","given":"Aristide","non-dropping-particle":"","parse-names":false,"suffix":""},{"dropping-particle":"","family":"Pinna","given":"Federica","non-dropping-particle":"","parse-names":false,"suffix":""}],"container-title":"Journal of Health Psychology","id":"ITEM-1","issue":"14","issued":{"date-parts":[["2016"]]},"page":"1889-1896","title":"Alcohol drinking patterns in young people: A survey-based study","type":"article-journal","volume":"22"},"uris":["http://www.mendeley.com/documents/?uuid=dbb7860d-b429-486e-85e8-e418a21c7d28"]}],"mendeley":{"formattedCitation":"(Di Giannantonio &lt;i&gt;et al.&lt;/i&gt;, 2016)","plainTextFormattedCitation":"(Di Giannantonio et al., 2016)","previouslyFormattedCitation":"(Di Giannantonio &lt;i&gt;et al.&lt;/i&gt;, 2016)"},"properties":{"noteIndex":0},"schema":"https://github.com/citation-style-language/schema/raw/master/csl-citation.json"}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(Di Giannantonio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0055D66">
        <w:rPr>
          <w:rFonts w:ascii="Calibri" w:eastAsia="MS Mincho" w:hAnsi="Calibri" w:cs="Calibri"/>
          <w:noProof/>
        </w:rPr>
        <w:t xml:space="preserve"> 2016)</w:t>
      </w:r>
      <w:r w:rsidRPr="00055D66">
        <w:rPr>
          <w:rFonts w:ascii="Calibri" w:eastAsia="MS Mincho" w:hAnsi="Calibri" w:cs="Calibri"/>
        </w:rPr>
        <w:fldChar w:fldCharType="end"/>
      </w:r>
      <w:r w:rsidRPr="00055D66">
        <w:rPr>
          <w:rFonts w:ascii="Calibri" w:eastAsia="MS Mincho" w:hAnsi="Calibri" w:cs="Calibri"/>
        </w:rPr>
        <w:t xml:space="preserve">. ﻿Excessive alcohol consumption amongst young people may include injury and death due to accidents and suicide as well as depression, learning and memory deficits, unplanned pregnancy and sexually transmitted infections﻿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{"citationItems":[{"id":"ITEM-1","itemData":{"DOI":"10.1177/1359105312464676","ISBN":"1359105312464","ISSN":"13591053","abstract":"The Regan Attitudes towards Non-Drinkers Scale was developed to address the concept that consumption of alcohol may serve as a means of avoiding social costs associated with being a non-drinker. This study sought to examine the Regan Attitudes towards Non-Drinkers Scale within a sample of Irish school-age adolescents. Results indicated that the Regan Attitudes towards Non-Drinkers Scale was a statistically significant predictor of self-reported problematic drinking. The findings of this study underscore the importance of this newly identified construct and highlight the necessity of further empirical tests of the Regan Attitudes towards Non-Drinkers Scale.","author":[{"dropping-particle":"","family":"Regan","given":"Daniel","non-dropping-particle":"","parse-names":false,"suffix":""},{"dropping-particle":"","family":"Morrison","given":"Todd G.","non-dropping-particle":"","parse-names":false,"suffix":""}],"container-title":"Journal of Health Psychology","id":"ITEM-1","issue":"11","issued":{"date-parts":[["2013"]]},"page":"1465-1477","title":"Adolescents' negative attitudes towards non-drinkers: A novel predictor of risky drinking","type":"article-journal","volume":"18"},"uris":["http://www.mendeley.com/documents/?uuid=83fdfa31-71a9-43b6-8224-8183cd24b9e3"]}],"mendeley":{"formattedCitation":"(Regan and Morrison, 2013)","plainTextFormattedCitation":"(Regan and Morrison, 2013)","previouslyFormattedCitation":"(Regan and Morrison, 2013)"},"properties":{"noteIndex":0},"schema":"https://github.com/citation-style-language/schema/raw/master/csl-citation.json"}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(Regan and Morrison, 2013)</w:t>
      </w:r>
      <w:r w:rsidRPr="00055D66">
        <w:rPr>
          <w:rFonts w:ascii="Calibri" w:eastAsia="MS Mincho" w:hAnsi="Calibri" w:cs="Calibri"/>
        </w:rPr>
        <w:fldChar w:fldCharType="end"/>
      </w:r>
      <w:r w:rsidRPr="00055D66">
        <w:rPr>
          <w:rFonts w:ascii="Calibri" w:eastAsia="MS Mincho" w:hAnsi="Calibri" w:cs="Calibri"/>
        </w:rPr>
        <w:t xml:space="preserve">. ﻿Factors influencing alcohol consumption among adolescents include alcohol use by peers and peer attitudes regarding alcohol (Preston and Goodfellow, 2006), sensation seeking (Hittner and Swickert, 2006) and the belief that alcohol consumption will result in positive outcomes (Anderson and Baumberg, 2006; Zamboanga </w:t>
      </w:r>
      <w:r w:rsidR="0080697E" w:rsidRPr="0080697E">
        <w:rPr>
          <w:rFonts w:ascii="Calibri" w:eastAsia="MS Mincho" w:hAnsi="Calibri" w:cs="Calibri"/>
          <w:i/>
          <w:iCs/>
        </w:rPr>
        <w:t>et al</w:t>
      </w:r>
      <w:r w:rsidR="0080697E">
        <w:rPr>
          <w:rFonts w:ascii="Calibri" w:eastAsia="MS Mincho" w:hAnsi="Calibri" w:cs="Calibri"/>
        </w:rPr>
        <w:t xml:space="preserve">., </w:t>
      </w:r>
      <w:r w:rsidRPr="00055D66">
        <w:rPr>
          <w:rFonts w:ascii="Calibri" w:eastAsia="MS Mincho" w:hAnsi="Calibri" w:cs="Calibri"/>
        </w:rPr>
        <w:t>2006). Gender is another area of interest, with young m</w:t>
      </w:r>
      <w:r>
        <w:rPr>
          <w:rFonts w:ascii="Calibri" w:eastAsia="MS Mincho" w:hAnsi="Calibri" w:cs="Calibri"/>
        </w:rPr>
        <w:t>en</w:t>
      </w:r>
      <w:r w:rsidRPr="00055D66">
        <w:rPr>
          <w:rFonts w:ascii="Calibri" w:eastAsia="MS Mincho" w:hAnsi="Calibri" w:cs="Calibri"/>
        </w:rPr>
        <w:t xml:space="preserve"> tending to drink more frequently, in greater quantity, and experiencing more alcohol-related problems (e.g., driving while intoxicated</w:t>
      </w:r>
      <w:r>
        <w:rPr>
          <w:rFonts w:ascii="Calibri" w:eastAsia="MS Mincho" w:hAnsi="Calibri" w:cs="Calibri"/>
        </w:rPr>
        <w:t xml:space="preserve"> (</w:t>
      </w:r>
      <w:r w:rsidRPr="00055D66">
        <w:rPr>
          <w:rFonts w:ascii="Calibri" w:eastAsia="MS Mincho" w:hAnsi="Calibri" w:cs="Calibri"/>
        </w:rPr>
        <w:t>Anderson and Baumberg, 2006; Comello and Slater, 2011)</w:t>
      </w:r>
      <w:r>
        <w:rPr>
          <w:rFonts w:ascii="Calibri" w:eastAsia="MS Mincho" w:hAnsi="Calibri" w:cs="Calibri"/>
        </w:rPr>
        <w:t>)</w:t>
      </w:r>
      <w:r w:rsidRPr="00055D66">
        <w:rPr>
          <w:rFonts w:ascii="Calibri" w:eastAsia="MS Mincho" w:hAnsi="Calibri" w:cs="Calibri"/>
        </w:rPr>
        <w:t xml:space="preserve"> than young </w:t>
      </w:r>
      <w:r>
        <w:rPr>
          <w:rFonts w:ascii="Calibri" w:eastAsia="MS Mincho" w:hAnsi="Calibri" w:cs="Calibri"/>
        </w:rPr>
        <w:t>women</w:t>
      </w:r>
      <w:r w:rsidRPr="00055D66">
        <w:rPr>
          <w:rFonts w:ascii="Calibri" w:eastAsia="MS Mincho" w:hAnsi="Calibri" w:cs="Calibri"/>
        </w:rPr>
        <w:t>.</w:t>
      </w:r>
    </w:p>
    <w:p w14:paraId="58CB006A" w14:textId="77777777" w:rsidR="0079774D" w:rsidRPr="00055D66" w:rsidRDefault="0079774D" w:rsidP="0079774D">
      <w:pPr>
        <w:spacing w:line="360" w:lineRule="auto"/>
        <w:rPr>
          <w:rFonts w:ascii="Calibri" w:eastAsia="MS Mincho" w:hAnsi="Calibri" w:cs="Calibri"/>
        </w:rPr>
      </w:pPr>
    </w:p>
    <w:p w14:paraId="7EDBBC91" w14:textId="46DF536B"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In a wider context, alcohol and drugs are a theme that run through risky behaviours in the lives of many young men and their families who are labelled as problematic. A report by </w:t>
      </w:r>
      <w:r w:rsidR="0080697E">
        <w:rPr>
          <w:rFonts w:ascii="Calibri" w:eastAsia="MS Mincho" w:hAnsi="Calibri" w:cs="Calibri"/>
        </w:rPr>
        <w:t xml:space="preserve">Chowdry </w:t>
      </w:r>
      <w:r w:rsidR="0080697E">
        <w:rPr>
          <w:rFonts w:ascii="Calibri" w:eastAsia="MS Mincho" w:hAnsi="Calibri" w:cs="Calibri"/>
        </w:rPr>
        <w:lastRenderedPageBreak/>
        <w:t xml:space="preserve">(2018) </w:t>
      </w:r>
      <w:r w:rsidRPr="00055D66">
        <w:rPr>
          <w:rFonts w:ascii="Calibri" w:eastAsia="MS Mincho" w:hAnsi="Calibri" w:cs="Calibri"/>
        </w:rPr>
        <w:t xml:space="preserve">highlights the ‘toxic trio’ of ﻿domestic violence and abuse (DV&amp;A) within the household, parental substance misuse (alcohol or drugs) and parental mental health issues in the UK. ﻿The role of socio-economic conditions in which parents sometimes operate, including housing problems, unemployment and poverty, are also important underlying concerns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{"citationItems":[{"id":"ITEM-1","itemData":{"abstract":"This report identifies and discusses evidence about to key aspects of the relationship beteen poverty and child abuse and neglect: the impact of poverty on a child's chance of being abused or neglected and the impact on adult poverty of abuse or neglect in childhood. It explores the economic costs of child abuse and neglect and outlines broad policy implications, ith a particular focus on the UK. lthough the evidence is limited in a number of important respects, it is clear that there is a strong association beteen family poverty and a child's chance of suffering child abuse or neglect. dverse events in childhood, including abuse and neglect, are associated ith a negative effect on adult economic circumstances. Hoever, these associations have been an insufficient focus of official data-gathering, research or policy-making. This report outlines: • strengths and eaknesses in the evidence base; • UK and international evidence about the association beteen family poverty and child abuse and neglect; • UK and international evidence about the impact of childhood abuse or neglect on poverty in adulthood; • evidence about the costs of child abuse and neglect; • implications for policy-making.","author":[{"dropping-particle":"","family":"Bywaters","given":"Paul","non-dropping-particle":"","parse-names":false,"suffix":""},{"dropping-particle":"","family":"Bunting","given":"Lisa","non-dropping-particle":"","parse-names":false,"suffix":""},{"dropping-particle":"","family":"Davidson","given":"Gavin","non-dropping-particle":"","parse-names":false,"suffix":""},{"dropping-particle":"","family":"Hanratty","given":"Jennifer","non-dropping-particle":"","parse-names":false,"suffix":""},{"dropping-particle":"","family":"Mason","given":"Will","non-dropping-particle":"","parse-names":false,"suffix":""},{"dropping-particle":"","family":"Mccartan","given":"Claire","non-dropping-particle":"","parse-names":false,"suffix":""},{"dropping-particle":"","family":"Steils","given":"Nicole","non-dropping-particle":"","parse-names":false,"suffix":""},{"dropping-particle":"","family":"Byaters","given":"Paul","non-dropping-particle":"","parse-names":false,"suffix":""},{"dropping-particle":"","family":"Mason","given":"ill","non-dropping-particle":"","parse-names":false,"suffix":""}],"id":"ITEM-1","issued":{"date-parts":[["2016"]]},"title":"The relationship beteen poverty, child abuse and neglect: an evidence revie","type":"article-journal"},"uris":["http://www.mendeley.com/documents/?uuid=199fe997-0d44-3e29-a933-a6a63edbc54f"]}],"mendeley":{"formattedCitation":"(Bywaters &lt;i&gt;et al.&lt;/i&gt;, 2016)","plainTextFormattedCitation":"(Bywaters et al., 2016)","previouslyFormattedCitation":"(Bywaters &lt;i&gt;et al.&lt;/i&gt;, 2016)"},"properties":{"noteIndex":0},"schema":"https://github.com/citation-style-language/schema/raw/master/csl-citation.json"}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(Bywaters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0055D66">
        <w:rPr>
          <w:rFonts w:ascii="Calibri" w:eastAsia="MS Mincho" w:hAnsi="Calibri" w:cs="Calibri"/>
          <w:noProof/>
        </w:rPr>
        <w:t>2016)</w:t>
      </w:r>
      <w:r w:rsidRPr="00055D66">
        <w:rPr>
          <w:rFonts w:ascii="Calibri" w:eastAsia="MS Mincho" w:hAnsi="Calibri" w:cs="Calibri"/>
        </w:rPr>
        <w:fldChar w:fldCharType="end"/>
      </w:r>
      <w:r w:rsidRPr="00055D66">
        <w:rPr>
          <w:rFonts w:ascii="Calibri" w:eastAsia="MS Mincho" w:hAnsi="Calibri" w:cs="Calibri"/>
        </w:rPr>
        <w:t xml:space="preserve">, but the interplay of these three key risks are widely indicated as significantly increasing the risk of ﻿harmful outcomes for children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{"citationItems":[{"id":"ITEM-1","itemData":{"author":[{"dropping-particle":"","family":"Chowdry","given":"Haroon","non-dropping-particle":"","parse-names":false,"suffix":""}],"id":"ITEM-1","issue":"July","issued":{"date-parts":[["2018"]]},"title":"Estimating the prevalence of the ‘ toxic trio ’","type":"report"},"uris":["http://www.mendeley.com/documents/?uuid=9f75e5c6-3d6f-47f0-86ed-a2664bf537ae"]}],"mendeley":{"formattedCitation":"(Chowdry, 2018)","plainTextFormattedCitation":"(Chowdry, 2018)","previouslyFormattedCitation":"(Chowdry, 2018)"},"properties":{"noteIndex":0},"schema":"https://github.com/citation-style-language/schema/raw/master/csl-citation.json"}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(Chowdry, 2018)</w:t>
      </w:r>
      <w:r w:rsidRPr="00055D66">
        <w:rPr>
          <w:rFonts w:ascii="Calibri" w:eastAsia="MS Mincho" w:hAnsi="Calibri" w:cs="Calibri"/>
        </w:rPr>
        <w:fldChar w:fldCharType="end"/>
      </w:r>
      <w:r w:rsidRPr="00055D66">
        <w:rPr>
          <w:rFonts w:ascii="Calibri" w:eastAsia="MS Mincho" w:hAnsi="Calibri" w:cs="Calibri"/>
        </w:rPr>
        <w:t xml:space="preserve">. </w:t>
      </w:r>
    </w:p>
    <w:p w14:paraId="4EDE139E" w14:textId="77777777" w:rsidR="0079774D" w:rsidRPr="00055D66" w:rsidRDefault="0079774D" w:rsidP="0079774D">
      <w:pPr>
        <w:spacing w:line="360" w:lineRule="auto"/>
        <w:rPr>
          <w:rFonts w:ascii="Calibri" w:eastAsia="MS Mincho" w:hAnsi="Calibri" w:cs="Calibri"/>
        </w:rPr>
      </w:pPr>
    </w:p>
    <w:p w14:paraId="38A36180"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The birth mother of child E (discussed earlier in this review) had mental health and substance misuse problems, and died of a drugs overdose when E was 8 years old. E appeared to be progressing reasonably well in life, presenting as ‘polite and willing’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{"citationItems":[{"id":"ITEM-1","itemData":{"author":[{"dropping-particle":"","family":"Rogers","given":"Leighe","non-dropping-particle":"","parse-names":false,"suffix":""}],"id":"ITEM-1","issue":"April","issued":{"date-parts":[["2016"]]},"page":"1-60","title":"Brighton &amp; Hove Safeguarding Children Board Serious Case Review : Child E Lead Reviewers : Sally Trench","type":"article-journal"},"locator":"3","uris":["http://www.mendeley.com/documents/?uuid=41b2d3c4-9214-4379-a803-6fa3aa553563"]}],"mendeley":{"formattedCitation":"(Rogers, 2016, p. 3)","plainTextFormattedCitation":"(Rogers, 2016, p. 3)","previouslyFormattedCitation":"(Rogers, 2016, p. 3)"},"properties":{"noteIndex":0},"schema":"https://github.com/citation-style-language/schema/raw/master/csl-citation.json"}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(Rogers, 2016, p.3)</w:t>
      </w:r>
      <w:r w:rsidRPr="00055D66">
        <w:rPr>
          <w:rFonts w:ascii="Calibri" w:eastAsia="MS Mincho" w:hAnsi="Calibri" w:cs="Calibri"/>
        </w:rPr>
        <w:fldChar w:fldCharType="end"/>
      </w:r>
      <w:r w:rsidRPr="00055D66">
        <w:rPr>
          <w:rFonts w:ascii="Calibri" w:eastAsia="MS Mincho" w:hAnsi="Calibri" w:cs="Calibri"/>
        </w:rPr>
        <w:t xml:space="preserve">, doing well in his school studies ﻿until he reached adolescence. E’s behaviour at home became increasingly challenging, and he engaged in risk-taking elsewhere. ﻿Initial concerns that he was experimenting with alcohol and drug developed and ﻿came to the attention of the Police. E had a good relationship with the family’s supporting social worker ﻿made an appropriate referral to a local alcohol and substance misuse service, although E declined this support. </w:t>
      </w:r>
    </w:p>
    <w:p w14:paraId="6EE041D1"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 </w:t>
      </w:r>
    </w:p>
    <w:p w14:paraId="2C49D25B" w14:textId="48698A8A" w:rsidR="0079774D" w:rsidRPr="00D41AE8" w:rsidRDefault="0079774D" w:rsidP="19D0833C">
      <w:pPr>
        <w:spacing w:line="360" w:lineRule="auto"/>
        <w:rPr>
          <w:rFonts w:ascii="Calibri" w:eastAsia="MS Mincho" w:hAnsi="Calibri" w:cs="Calibri"/>
        </w:rPr>
      </w:pPr>
      <w:r w:rsidRPr="19D0833C">
        <w:rPr>
          <w:rFonts w:ascii="Calibri" w:eastAsia="MS Mincho" w:hAnsi="Calibri" w:cs="Calibri"/>
        </w:rPr>
        <w:t xml:space="preserve">Shame and guilt may be regarded as a barrier to engagement </w:t>
      </w:r>
      <w:r w:rsidRPr="19D0833C">
        <w:rPr>
          <w:rFonts w:ascii="Calibri" w:eastAsia="MS Mincho" w:hAnsi="Calibri" w:cs="Calibri"/>
        </w:rPr>
        <w:fldChar w:fldCharType="begin" w:fldLock="1"/>
      </w:r>
      <w:r w:rsidRPr="19D0833C">
        <w:rPr>
          <w:rFonts w:ascii="Calibri" w:eastAsia="MS Mincho" w:hAnsi="Calibri" w:cs="Calibri"/>
        </w:rPr>
        <w:instrText>ADDIN CSL_CITATION {"citationItems":[{"id":"ITEM-1","itemData":{"DOI":"10.1093/bjsw/bcu140","ISSN":"1468263X","abstract":"While shame has historically been neglected in emotion research,there is now a large body of research evidence by which to understand the concept and the phenomenology which suggests that shame can have a pervasive and negative effect on individuals’ lives and reltionships. It can be considered to be an emotion that relates to a belief that the self is flawed and that one is not worthy of acceptance and belonging. This paper reports on a scoping review of shame experienced by social workers, identifying the nature and extent of the research evidence. Shame was operationalised through a working model providedbythe seminalworkof Lewis(1971).Thesearch strategys ought to identify qualitative studies relating to social workers’ personal experiences of practice. Data were extracted that met the criteria in the working model for shame and a thematic analysis appliedto the extracted data.Theresults suggest that,while shame was unacknowledged in the research, it is a common experience for many social workers with indications that it influences practitioners’ job satisfaction,staff retention and an ability to practice ethically. Areas for future research are identified","author":[{"dropping-particle":"","family":"Gibson","given":"Matthew","non-dropping-particle":"","parse-names":false,"suffix":""}],"container-title":"British Journal of Social Work","id":"ITEM-1","issue":"2","issued":{"date-parts":[["2016"]]},"title":"Social Worker Shame: A Scoping Review","type":"article","volume":"46"},"uris":["http://www.mendeley.com/documents/?uuid=a1018cbf-1e3c-3e09-b94d-2bcabf500fb3"]}],"mendeley":{"formattedCitation":"(Gibson, 2016)","plainTextFormattedCitation":"(Gibson, 2016)","previouslyFormattedCitation":"(Gibson, 2016)"},"properties":{"noteIndex":0},"schema":"https://github.com/citation-style-language/schema/raw/master/csl-citation.json"}</w:instrText>
      </w:r>
      <w:r w:rsidRPr="19D0833C">
        <w:rPr>
          <w:rFonts w:ascii="Calibri" w:eastAsia="MS Mincho" w:hAnsi="Calibri" w:cs="Calibri"/>
        </w:rPr>
        <w:fldChar w:fldCharType="separate"/>
      </w:r>
      <w:r w:rsidRPr="19D0833C">
        <w:rPr>
          <w:rFonts w:ascii="Calibri" w:eastAsia="MS Mincho" w:hAnsi="Calibri" w:cs="Calibri"/>
          <w:noProof/>
        </w:rPr>
        <w:t>(Gibson, 2016)</w:t>
      </w:r>
      <w:r w:rsidRPr="19D0833C">
        <w:rPr>
          <w:rFonts w:ascii="Calibri" w:eastAsia="MS Mincho" w:hAnsi="Calibri" w:cs="Calibri"/>
        </w:rPr>
        <w:fldChar w:fldCharType="end"/>
      </w:r>
      <w:r w:rsidRPr="19D0833C">
        <w:rPr>
          <w:rFonts w:ascii="Calibri" w:eastAsia="MS Mincho" w:hAnsi="Calibri" w:cs="Calibri"/>
        </w:rPr>
        <w:t xml:space="preserve">. These emotions are ‘most acutely observed’ </w:t>
      </w:r>
      <w:r w:rsidRPr="19D0833C">
        <w:rPr>
          <w:rFonts w:ascii="Calibri" w:eastAsia="MS Mincho" w:hAnsi="Calibri" w:cs="Calibri"/>
        </w:rPr>
        <w:fldChar w:fldCharType="begin" w:fldLock="1"/>
      </w:r>
      <w:r w:rsidRPr="19D0833C">
        <w:rPr>
          <w:rFonts w:ascii="Calibri" w:eastAsia="MS Mincho" w:hAnsi="Calibri" w:cs="Calibri"/>
        </w:rPr>
        <w:instrText>ADDIN CSL_CITATION {"citationItems":[{"id":"ITEM-1","itemData":{"DOI":"10.1093/bjsw/bcu140","ISSN":"1468263X","abstract":"While shame has historically been neglected in emotion research,there is now a large body of research evidence by which to understand the concept and the phenomenology which suggests that shame can have a pervasive and negative effect on individuals’ lives and reltionships. It can be considered to be an emotion that relates to a belief that the self is flawed and that one is not worthy of acceptance and belonging. This paper reports on a scoping review of shame experienced by social workers, identifying the nature and extent of the research evidence. Shame was operationalised through a working model providedbythe seminalworkof Lewis(1971).Thesearch strategys ought to identify qualitative studies relating to social workers’ personal experiences of practice. Data were extracted that met the criteria in the working model for shame and a thematic analysis appliedto the extracted data.Theresults suggest that,while shame was unacknowledged in the research, it is a common experience for many social workers with indications that it influences practitioners’ job satisfaction,staff retention and an ability to practice ethically. Areas for future research are identified","author":[{"dropping-particle":"","family":"Gibson","given":"Matthew","non-dropping-particle":"","parse-names":false,"suffix":""}],"container-title":"British Journal of Social Work","id":"ITEM-1","issue":"2","issued":{"date-parts":[["2016"]]},"title":"Social Worker Shame: A Scoping Review","type":"article","volume":"46"},"locator":"337","uris":["http://www.mendeley.com/documents/?uuid=a1018cbf-1e3c-3e09-b94d-2bcabf500fb3"]}],"mendeley":{"formattedCitation":"(Gibson, 2016, p. 337)","plainTextFormattedCitation":"(Gibson, 2016, p. 337)","previouslyFormattedCitation":"(Gibson, 2016, p. 337)"},"properties":{"noteIndex":0},"schema":"https://github.com/citation-style-language/schema/raw/master/csl-citation.json"}</w:instrText>
      </w:r>
      <w:r w:rsidRPr="19D0833C">
        <w:rPr>
          <w:rFonts w:ascii="Calibri" w:eastAsia="MS Mincho" w:hAnsi="Calibri" w:cs="Calibri"/>
        </w:rPr>
        <w:fldChar w:fldCharType="separate"/>
      </w:r>
      <w:r w:rsidRPr="19D0833C">
        <w:rPr>
          <w:rFonts w:ascii="Calibri" w:eastAsia="MS Mincho" w:hAnsi="Calibri" w:cs="Calibri"/>
          <w:noProof/>
        </w:rPr>
        <w:t>(Gibson, 2016, p. 337)</w:t>
      </w:r>
      <w:r w:rsidRPr="19D0833C">
        <w:rPr>
          <w:rFonts w:ascii="Calibri" w:eastAsia="MS Mincho" w:hAnsi="Calibri" w:cs="Calibri"/>
        </w:rPr>
        <w:fldChar w:fldCharType="end"/>
      </w:r>
      <w:r w:rsidRPr="19D0833C">
        <w:rPr>
          <w:rFonts w:ascii="Calibri" w:eastAsia="MS Mincho" w:hAnsi="Calibri" w:cs="Calibri"/>
        </w:rPr>
        <w:t xml:space="preserve"> in service users who social workers find the most difficult to engage, with feelings of inadequacy overwhelming any desire to accept support or reach out for help. These may be particularly acute for young men given social and cultural messages about the appropriateness or otherwise of expressed emotions. </w:t>
      </w:r>
      <w:r w:rsidR="4C5FC0A6" w:rsidRPr="00D41AE8">
        <w:rPr>
          <w:rFonts w:ascii="Calibri" w:eastAsia="MS Mincho" w:hAnsi="Calibri" w:cs="Calibri"/>
        </w:rPr>
        <w:t>I</w:t>
      </w:r>
      <w:r w:rsidR="4C5FC0A6" w:rsidRPr="00301C85">
        <w:rPr>
          <w:rFonts w:ascii="Calibri" w:eastAsia="MS Mincho" w:hAnsi="Calibri" w:cs="Calibri"/>
        </w:rPr>
        <w:t>n their research paper</w:t>
      </w:r>
      <w:r w:rsidR="0080697E">
        <w:rPr>
          <w:rFonts w:ascii="Calibri" w:eastAsia="MS Mincho" w:hAnsi="Calibri" w:cs="Calibri"/>
        </w:rPr>
        <w:t xml:space="preserve">, </w:t>
      </w:r>
      <w:r w:rsidR="4C5FC0A6" w:rsidRPr="00301C85">
        <w:rPr>
          <w:rFonts w:ascii="Calibri" w:eastAsia="MS Mincho" w:hAnsi="Calibri" w:cs="Calibri"/>
        </w:rPr>
        <w:t xml:space="preserve">Gluck </w:t>
      </w:r>
      <w:r w:rsidR="0080697E" w:rsidRPr="0080697E">
        <w:rPr>
          <w:rFonts w:ascii="Calibri" w:eastAsia="MS Mincho" w:hAnsi="Calibri" w:cs="Calibri"/>
          <w:i/>
          <w:iCs/>
        </w:rPr>
        <w:t>et al</w:t>
      </w:r>
      <w:r w:rsidR="0080697E">
        <w:rPr>
          <w:rFonts w:ascii="Calibri" w:eastAsia="MS Mincho" w:hAnsi="Calibri" w:cs="Calibri"/>
        </w:rPr>
        <w:t>.</w:t>
      </w:r>
      <w:proofErr w:type="gramStart"/>
      <w:r w:rsidR="0080697E">
        <w:rPr>
          <w:rFonts w:ascii="Calibri" w:eastAsia="MS Mincho" w:hAnsi="Calibri" w:cs="Calibri"/>
        </w:rPr>
        <w:t>,  (</w:t>
      </w:r>
      <w:proofErr w:type="gramEnd"/>
      <w:r w:rsidR="0080697E">
        <w:rPr>
          <w:rFonts w:ascii="Calibri" w:eastAsia="MS Mincho" w:hAnsi="Calibri" w:cs="Calibri"/>
        </w:rPr>
        <w:t>2017)</w:t>
      </w:r>
      <w:r w:rsidR="4C5FC0A6" w:rsidRPr="00301C85">
        <w:rPr>
          <w:rFonts w:ascii="Calibri" w:eastAsia="MS Mincho" w:hAnsi="Calibri" w:cs="Calibri"/>
        </w:rPr>
        <w:t xml:space="preserve"> examined anger and shame in relation to childhood trauma for looked after children. Using a network analysis approach, the authors identified the powerful impact of anger arising from thoughts about previous experiences of harm and abuse.</w:t>
      </w:r>
    </w:p>
    <w:p w14:paraId="2717C866" w14:textId="77777777" w:rsidR="0079774D" w:rsidRPr="00301C85" w:rsidRDefault="0079774D" w:rsidP="0079774D">
      <w:pPr>
        <w:spacing w:line="360" w:lineRule="auto"/>
        <w:rPr>
          <w:rFonts w:ascii="Calibri" w:eastAsia="MS Mincho" w:hAnsi="Calibri" w:cs="Calibri"/>
        </w:rPr>
      </w:pPr>
    </w:p>
    <w:p w14:paraId="1671CB47" w14:textId="546F720A" w:rsidR="0079774D" w:rsidRDefault="0079774D" w:rsidP="0079774D">
      <w:pPr>
        <w:rPr>
          <w:rFonts w:ascii="Calibri" w:eastAsia="MS Mincho" w:hAnsi="Calibri" w:cs="Calibri"/>
          <w:b/>
          <w:bCs/>
        </w:rPr>
      </w:pPr>
    </w:p>
    <w:p w14:paraId="5276D1EF" w14:textId="7CC05855" w:rsidR="0080697E" w:rsidRDefault="0080697E" w:rsidP="0079774D">
      <w:pPr>
        <w:rPr>
          <w:rFonts w:ascii="Calibri" w:eastAsia="MS Mincho" w:hAnsi="Calibri" w:cs="Calibri"/>
          <w:b/>
          <w:bCs/>
        </w:rPr>
      </w:pPr>
    </w:p>
    <w:p w14:paraId="7A09B7B3" w14:textId="77777777" w:rsidR="0080697E" w:rsidRPr="00055D66" w:rsidRDefault="0080697E" w:rsidP="0079774D">
      <w:pPr>
        <w:rPr>
          <w:rFonts w:ascii="Calibri" w:eastAsia="MS Mincho" w:hAnsi="Calibri" w:cs="Calibri"/>
          <w:b/>
          <w:bCs/>
        </w:rPr>
      </w:pPr>
    </w:p>
    <w:p w14:paraId="26901226" w14:textId="3B8EEC68" w:rsidR="0079774D" w:rsidRPr="00FC0EF7" w:rsidRDefault="0079774D" w:rsidP="0079774D">
      <w:pPr>
        <w:spacing w:line="360" w:lineRule="auto"/>
        <w:rPr>
          <w:rFonts w:ascii="Calibri" w:eastAsia="MS Mincho" w:hAnsi="Calibri" w:cs="Calibri"/>
          <w:i/>
          <w:iCs/>
        </w:rPr>
      </w:pPr>
      <w:r w:rsidRPr="00FC0EF7">
        <w:rPr>
          <w:rFonts w:ascii="Calibri" w:eastAsia="MS Mincho" w:hAnsi="Calibri" w:cs="Calibri"/>
          <w:i/>
          <w:iCs/>
        </w:rPr>
        <w:lastRenderedPageBreak/>
        <w:t>2.2.</w:t>
      </w:r>
      <w:r w:rsidR="00114D69">
        <w:rPr>
          <w:rFonts w:ascii="Calibri" w:eastAsia="MS Mincho" w:hAnsi="Calibri" w:cs="Calibri"/>
          <w:i/>
          <w:iCs/>
        </w:rPr>
        <w:t>8</w:t>
      </w:r>
      <w:r w:rsidRPr="00FC0EF7">
        <w:rPr>
          <w:rFonts w:ascii="Calibri" w:eastAsia="MS Mincho" w:hAnsi="Calibri" w:cs="Calibri"/>
          <w:i/>
          <w:iCs/>
        </w:rPr>
        <w:t xml:space="preserve"> Family and social networks</w:t>
      </w:r>
    </w:p>
    <w:p w14:paraId="00150DDB" w14:textId="2EF71221"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Family support and family involvement in young men’s lives features significantly in the literature. A study that looks at the consequences of runaway and ‘thrownaway’ experiences for sexual minority health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{"citationItems":[{"id":"ITEM-1","itemData":{"DOI":"10.1080/19361653.2016.1264909","ISBN":"1936-1653","ISSN":"19361661","abstract":"Sexual minority youth are more likely to run away from home or experience homelessness, leaving them at increased risk of victimization and negative health outcomes. In this study, the authors use a developmental perspective that considers both vulnerable beginnings in families and the risky trajectories that follow to explore the connections between running away or being thrown out by parents and sexual minority women's and men's health in adulthood. Using four waves of data from the National Longitudinal Study of Adolescent to Adult Health (Add Health), the authors consider multiple dimensions of health and several potential intervening mechanisms. Findings suggest that runaway and thrownaway experiences have persistent negative effects on health into adulthood, in part because of their association with sexual victimization, educational attainment, and relationships with parents. Sexual minority men who have been thrown out by parents report a greater likelihood of suicidal ideation, smoking, and substance use into adulthood. Sexual minority women with runaway experiences have poorer health and increased depressive symptoms, while women with thrownaway experiences engage in more health risk behaviors. Sexual victimization stands out as a key mechanism for sexual minority women's health, as more than half of these young women report experiences of sexual victimization.","author":[{"dropping-particle":"","family":"Pearson","given":"Jennifer","non-dropping-particle":"","parse-names":false,"suffix":""},{"dropping-particle":"","family":"Thrane","given":"Lisa","non-dropping-particle":"","parse-names":false,"suffix":""},{"dropping-particle":"","family":"Wilkinson","given":"Lindsey","non-dropping-particle":"","parse-names":false,"suffix":""}],"container-title":"Journal of LGBT Youth","id":"ITEM-1","issue":"2","issued":{"date-parts":[["2017"]]},"page":"145-171","publisher":"Taylor &amp; Francis","title":"Consequences of runaway and thrownaway experiences for sexual minority health during the transition to adulthood","type":"article-journal","volume":"14"},"uris":["http://www.mendeley.com/documents/?uuid=02822167-02df-4a8d-a70d-7b9df0b06230"]}],"mendeley":{"formattedCitation":"(Pearson, Thrane and Wilkinson, 2017)","plainTextFormattedCitation":"(Pearson, Thrane and Wilkinson, 2017)","previouslyFormattedCitation":"(Pearson, Thrane and Wilkinson, 2017)"},"properties":{"noteIndex":0},"schema":"https://github.com/citation-style-language/schema/raw/master/csl-citation.json"}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(Pearson, Thrane and Wilkinson, 2017)</w:t>
      </w:r>
      <w:r w:rsidRPr="088F2921">
        <w:rPr>
          <w:rFonts w:ascii="Calibri" w:eastAsia="MS Mincho" w:hAnsi="Calibri" w:cs="Calibri"/>
        </w:rPr>
        <w:fldChar w:fldCharType="end"/>
      </w:r>
      <w:r w:rsidRPr="088F2921">
        <w:rPr>
          <w:rFonts w:ascii="Calibri" w:eastAsia="MS Mincho" w:hAnsi="Calibri" w:cs="Calibri"/>
        </w:rPr>
        <w:t xml:space="preserve"> reveals that those who are thrown out are less likely than runaways to reunify with their families and return home. Street victimisation compounds earlier traumatic experiences and stressors. Young men are more likely to experience sexual victimisation on the streets during the transition to adulthood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{"citationItems":[{"id":"ITEM-1","itemData":{"DOI":"10.1080/19361653.2016.1264909","ISBN":"1936-1653","ISSN":"19361661","abstract":"Sexual minority youth are more likely to run away from home or experience homelessness, leaving them at increased risk of victimization and negative health outcomes. In this study, the authors use a developmental perspective that considers both vulnerable beginnings in families and the risky trajectories that follow to explore the connections between running away or being thrown out by parents and sexual minority women's and men's health in adulthood. Using four waves of data from the National Longitudinal Study of Adolescent to Adult Health (Add Health), the authors consider multiple dimensions of health and several potential intervening mechanisms. Findings suggest that runaway and thrownaway experiences have persistent negative effects on health into adulthood, in part because of their association with sexual victimization, educational attainment, and relationships with parents. Sexual minority men who have been thrown out by parents report a greater likelihood of suicidal ideation, smoking, and substance use into adulthood. Sexual minority women with runaway experiences have poorer health and increased depressive symptoms, while women with thrownaway experiences engage in more health risk behaviors. Sexual victimization stands out as a key mechanism for sexual minority women's health, as more than half of these young women report experiences of sexual victimization.","author":[{"dropping-particle":"","family":"Pearson","given":"Jennifer","non-dropping-particle":"","parse-names":false,"suffix":""},{"dropping-particle":"","family":"Thrane","given":"Lisa","non-dropping-particle":"","parse-names":false,"suffix":""},{"dropping-particle":"","family":"Wilkinson","given":"Lindsey","non-dropping-particle":"","parse-names":false,"suffix":""}],"container-title":"Journal of LGBT Youth","id":"ITEM-1","issue":"2","issued":{"date-parts":[["2017"]]},"page":"145-171","publisher":"Taylor &amp; Francis","title":"Consequences of runaway and thrownaway experiences for sexual minority health during the transition to adulthood","type":"article-journal","volume":"14"},"uris":["http://www.mendeley.com/documents/?uuid=02822167-02df-4a8d-a70d-7b9df0b06230"]}],"mendeley":{"formattedCitation":"(Pearson, Thrane and Wilkinson, 2017)","plainTextFormattedCitation":"(Pearson, Thrane and Wilkinson, 2017)","previouslyFormattedCitation":"(Pearson, Thrane and Wilkinson, 2017)"},"properties":{"noteIndex":0},"schema":"https://github.com/citation-style-language/schema/raw/master/csl-citation.json"}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(Pearson, Thrane and Wilkinson, 2017)</w:t>
      </w:r>
      <w:r w:rsidRPr="088F2921">
        <w:rPr>
          <w:rFonts w:ascii="Calibri" w:eastAsia="MS Mincho" w:hAnsi="Calibri" w:cs="Calibri"/>
        </w:rPr>
        <w:fldChar w:fldCharType="end"/>
      </w:r>
      <w:r w:rsidRPr="088F2921">
        <w:rPr>
          <w:rFonts w:ascii="Calibri" w:eastAsia="MS Mincho" w:hAnsi="Calibri" w:cs="Calibri"/>
        </w:rPr>
        <w:t xml:space="preserve">. Lack of parent-child communication around gay sex, and experiences of family disapproval and rejection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{"citationItems":[{"id":"ITEM-1","itemData":{"DOI":"10.1080/00918369.2016.1179039","ISBN":"1540-3602 (Electronic)\r0091-8369 (Linking)","ISSN":"15403602","PMID":"27092441","abstract":"Young, gay and bisexual men (YGBM) are at increased risk of family rejection, which is related to HIV infection. What remains unknown is how family rejection leads to HIV risk. In this exploratory study, qualitative interviews were conducted with 21 HIV-positive YGBM aged 18 to 24. Most participants reported family rejection, which decreased instrumental and emotional support and resulted in participants using riskier ways to support themselves, such as engaging in survival sex. Conceptualizing the findings using a family systems framework, we present a tentative conceptual model to describe the potential relationships between family rejection and HIV risk for YGBM.","author":[{"dropping-particle":"","family":"Bird","given":"Jason D.P.","non-dropping-particle":"","parse-names":false,"suffix":""},{"dropping-particle":"","family":"LaSala","given":"Michael C.","non-dropping-particle":"","parse-names":false,"suffix":""},{"dropping-particle":"","family":"Hidalgo","given":"Marco A.","non-dropping-particle":"","parse-names":false,"suffix":""},{"dropping-particle":"","family":"Kuhns","given":"Lisa M.","non-dropping-particle":"","parse-names":false,"suffix":""},{"dropping-particle":"","family":"Garofalo","given":"Robert","non-dropping-particle":"","parse-names":false,"suffix":""}],"container-title":"Journal of Homosexuality","id":"ITEM-1","issue":"3","issued":{"date-parts":[["2017"]]},"page":"321-342","publisher":"Routledge","title":"“I Had to Go to the Streets to Get Love”: Pathways From Parental Rejection to HIV Risk Among Young Gay and Bisexual Men","type":"article-journal","volume":"64"},"uris":["http://www.mendeley.com/documents/?uuid=0caa3c17-ed29-4542-8b8a-77038d361728"]}],"mendeley":{"formattedCitation":"(Bird &lt;i&gt;et al.&lt;/i&gt;, 2017)","plainTextFormattedCitation":"(Bird et al., 2017)","previouslyFormattedCitation":"(Bird &lt;i&gt;et al.&lt;/i&gt;, 2017)"},"properties":{"noteIndex":0},"schema":"https://github.com/citation-style-language/schema/raw/master/csl-citation.json"}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(Bird </w:t>
      </w:r>
      <w:r w:rsidR="0080697E" w:rsidRPr="0080697E">
        <w:rPr>
          <w:rFonts w:ascii="Calibri" w:eastAsia="MS Mincho" w:hAnsi="Calibri" w:cs="Calibri"/>
          <w:i/>
          <w:iCs/>
          <w:noProof/>
        </w:rPr>
        <w:t>et al.,</w:t>
      </w:r>
      <w:r w:rsidRPr="088F2921">
        <w:rPr>
          <w:rFonts w:ascii="Calibri" w:eastAsia="MS Mincho" w:hAnsi="Calibri" w:cs="Calibri"/>
          <w:noProof/>
        </w:rPr>
        <w:t xml:space="preserve"> 2017)</w:t>
      </w:r>
      <w:r w:rsidRPr="088F2921">
        <w:rPr>
          <w:rFonts w:ascii="Calibri" w:eastAsia="MS Mincho" w:hAnsi="Calibri" w:cs="Calibri"/>
        </w:rPr>
        <w:fldChar w:fldCharType="end"/>
      </w:r>
      <w:r w:rsidRPr="088F2921">
        <w:rPr>
          <w:rFonts w:ascii="Calibri" w:eastAsia="MS Mincho" w:hAnsi="Calibri" w:cs="Calibri"/>
        </w:rPr>
        <w:t xml:space="preserve"> exemplify the missed opportunities of parent-child communication in relation to improving outcomes for young men.   Research points to renewing family bonds as a possible route to reducing the effect of these experiences on long-term health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{"citationItems":[{"id":"ITEM-1","itemData":{"DOI":"10.1080/19361653.2016.1264909","ISBN":"1936-1653","ISSN":"19361661","abstract":"Sexual minority youth are more likely to run away from home or experience homelessness, leaving them at increased risk of victimization and negative health outcomes. In this study, the authors use a developmental perspective that considers both vulnerable beginnings in families and the risky trajectories that follow to explore the connections between running away or being thrown out by parents and sexual minority women's and men's health in adulthood. Using four waves of data from the National Longitudinal Study of Adolescent to Adult Health (Add Health), the authors consider multiple dimensions of health and several potential intervening mechanisms. Findings suggest that runaway and thrownaway experiences have persistent negative effects on health into adulthood, in part because of their association with sexual victimization, educational attainment, and relationships with parents. Sexual minority men who have been thrown out by parents report a greater likelihood of suicidal ideation, smoking, and substance use into adulthood. Sexual minority women with runaway experiences have poorer health and increased depressive symptoms, while women with thrownaway experiences engage in more health risk behaviors. Sexual victimization stands out as a key mechanism for sexual minority women's health, as more than half of these young women report experiences of sexual victimization.","author":[{"dropping-particle":"","family":"Pearson","given":"Jennifer","non-dropping-particle":"","parse-names":false,"suffix":""},{"dropping-particle":"","family":"Thrane","given":"Lisa","non-dropping-particle":"","parse-names":false,"suffix":""},{"dropping-particle":"","family":"Wilkinson","given":"Lindsey","non-dropping-particle":"","parse-names":false,"suffix":""}],"container-title":"Journal of LGBT Youth","id":"ITEM-1","issue":"2","issued":{"date-parts":[["2017"]]},"page":"145-171","publisher":"Taylor &amp; Francis","title":"Consequences of runaway and thrownaway experiences for sexual minority health during the transition to adulthood","type":"article-journal","volume":"14"},"uris":["http://www.mendeley.com/documents/?uuid=02822167-02df-4a8d-a70d-7b9df0b06230"]}],"mendeley":{"formattedCitation":"(Pearson, Thrane and Wilkinson, 2017)","plainTextFormattedCitation":"(Pearson, Thrane and Wilkinson, 2017)","previouslyFormattedCitation":"(Pearson, Thrane and Wilkinson, 2017)"},"properties":{"noteIndex":0},"schema":"https://github.com/citation-style-language/schema/raw/master/csl-citation.json"}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(Pearson, Thrane and Wilkinson, 2017)</w:t>
      </w:r>
      <w:r w:rsidRPr="088F2921">
        <w:rPr>
          <w:rFonts w:ascii="Calibri" w:eastAsia="MS Mincho" w:hAnsi="Calibri" w:cs="Calibri"/>
        </w:rPr>
        <w:fldChar w:fldCharType="end"/>
      </w:r>
      <w:r w:rsidRPr="088F2921">
        <w:rPr>
          <w:rFonts w:ascii="Calibri" w:eastAsia="MS Mincho" w:hAnsi="Calibri" w:cs="Calibri"/>
        </w:rPr>
        <w:t xml:space="preserve">. </w:t>
      </w:r>
    </w:p>
    <w:p w14:paraId="42C13A10" w14:textId="77777777" w:rsidR="0079774D" w:rsidRPr="00055D66" w:rsidRDefault="0079774D" w:rsidP="0079774D">
      <w:pPr>
        <w:spacing w:line="360" w:lineRule="auto"/>
        <w:rPr>
          <w:rFonts w:ascii="Calibri" w:eastAsia="MS Mincho" w:hAnsi="Calibri" w:cs="Calibri"/>
        </w:rPr>
      </w:pPr>
    </w:p>
    <w:p w14:paraId="09DD57CD" w14:textId="30387E8C"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Hiller et. </w:t>
      </w:r>
      <w:r w:rsidR="00301C85" w:rsidRPr="088F2921">
        <w:rPr>
          <w:rFonts w:ascii="Calibri" w:eastAsia="MS Mincho" w:hAnsi="Calibri" w:cs="Calibri"/>
        </w:rPr>
        <w:t>A</w:t>
      </w:r>
      <w:r w:rsidRPr="088F2921">
        <w:rPr>
          <w:rFonts w:ascii="Calibri" w:eastAsia="MS Mincho" w:hAnsi="Calibri" w:cs="Calibri"/>
        </w:rPr>
        <w:t>l. (2020) carried out a longitudinal study of young people l</w:t>
      </w:r>
      <w:r w:rsidR="5ECA0699" w:rsidRPr="088F2921">
        <w:rPr>
          <w:rFonts w:ascii="Calibri" w:eastAsia="MS Mincho" w:hAnsi="Calibri" w:cs="Calibri"/>
        </w:rPr>
        <w:t>i</w:t>
      </w:r>
      <w:r w:rsidRPr="088F2921">
        <w:rPr>
          <w:rFonts w:ascii="Calibri" w:eastAsia="MS Mincho" w:hAnsi="Calibri" w:cs="Calibri"/>
        </w:rPr>
        <w:t xml:space="preserve">ving outside of their birth family environment. The study assessed </w:t>
      </w:r>
      <w:proofErr w:type="gramStart"/>
      <w:r w:rsidRPr="088F2921">
        <w:rPr>
          <w:rFonts w:ascii="Calibri" w:eastAsia="MS Mincho" w:hAnsi="Calibri" w:cs="Calibri"/>
        </w:rPr>
        <w:t>10-18 year olds</w:t>
      </w:r>
      <w:proofErr w:type="gramEnd"/>
      <w:r w:rsidRPr="088F2921">
        <w:rPr>
          <w:rFonts w:ascii="Calibri" w:eastAsia="MS Mincho" w:hAnsi="Calibri" w:cs="Calibri"/>
        </w:rPr>
        <w:t xml:space="preserve"> and their main carer on two occasions</w:t>
      </w:r>
      <w:r w:rsidR="007C2D7F" w:rsidRPr="088F2921">
        <w:rPr>
          <w:rFonts w:ascii="Calibri" w:eastAsia="MS Mincho" w:hAnsi="Calibri" w:cs="Calibri"/>
        </w:rPr>
        <w:t>,</w:t>
      </w:r>
      <w:r w:rsidRPr="088F2921">
        <w:rPr>
          <w:rFonts w:ascii="Calibri" w:eastAsia="MS Mincho" w:hAnsi="Calibri" w:cs="Calibri"/>
        </w:rPr>
        <w:t xml:space="preserve"> separated by one year. The assessments were based upon questionnaires regarding trauma histories, symptoms associated with trauma</w:t>
      </w:r>
      <w:r w:rsidR="007C2D7F" w:rsidRPr="088F2921">
        <w:rPr>
          <w:rFonts w:ascii="Calibri" w:eastAsia="MS Mincho" w:hAnsi="Calibri" w:cs="Calibri"/>
        </w:rPr>
        <w:t>,</w:t>
      </w:r>
      <w:r w:rsidRPr="088F2921">
        <w:rPr>
          <w:rFonts w:ascii="Calibri" w:eastAsia="MS Mincho" w:hAnsi="Calibri" w:cs="Calibri"/>
        </w:rPr>
        <w:t xml:space="preserve"> and coping strategies. The researchers found that </w:t>
      </w:r>
      <w:r w:rsidR="007C2D7F" w:rsidRPr="088F2921">
        <w:rPr>
          <w:rFonts w:ascii="Calibri" w:eastAsia="MS Mincho" w:hAnsi="Calibri" w:cs="Calibri"/>
        </w:rPr>
        <w:t xml:space="preserve">although </w:t>
      </w:r>
      <w:r w:rsidRPr="088F2921">
        <w:rPr>
          <w:rFonts w:ascii="Calibri" w:eastAsia="MS Mincho" w:hAnsi="Calibri" w:cs="Calibri"/>
        </w:rPr>
        <w:t xml:space="preserve">severity of abuse or harm experienced by the young people </w:t>
      </w:r>
      <w:r w:rsidR="007C2D7F" w:rsidRPr="088F2921">
        <w:rPr>
          <w:rFonts w:ascii="Calibri" w:eastAsia="MS Mincho" w:hAnsi="Calibri" w:cs="Calibri"/>
        </w:rPr>
        <w:t xml:space="preserve">– a measure assessed by social workers – did not </w:t>
      </w:r>
      <w:proofErr w:type="gramStart"/>
      <w:r w:rsidR="007C2D7F" w:rsidRPr="088F2921">
        <w:rPr>
          <w:rFonts w:ascii="Calibri" w:eastAsia="MS Mincho" w:hAnsi="Calibri" w:cs="Calibri"/>
        </w:rPr>
        <w:t>predict</w:t>
      </w:r>
      <w:r w:rsidRPr="088F2921">
        <w:rPr>
          <w:rFonts w:ascii="Calibri" w:eastAsia="MS Mincho" w:hAnsi="Calibri" w:cs="Calibri"/>
        </w:rPr>
        <w:t xml:space="preserve"> </w:t>
      </w:r>
      <w:r w:rsidR="7D283BE5" w:rsidRPr="088F2921">
        <w:rPr>
          <w:rFonts w:ascii="Calibri" w:eastAsia="MS Mincho" w:hAnsi="Calibri" w:cs="Calibri"/>
        </w:rPr>
        <w:t xml:space="preserve"> </w:t>
      </w:r>
      <w:r w:rsidR="00623834">
        <w:rPr>
          <w:rFonts w:ascii="Calibri" w:eastAsia="MS Mincho" w:hAnsi="Calibri" w:cs="Calibri"/>
        </w:rPr>
        <w:t>‘</w:t>
      </w:r>
      <w:proofErr w:type="gramEnd"/>
      <w:r w:rsidR="5CF7B042" w:rsidRPr="088F2921">
        <w:rPr>
          <w:rFonts w:ascii="Calibri" w:eastAsia="MS Mincho" w:hAnsi="Calibri" w:cs="Calibri"/>
        </w:rPr>
        <w:t xml:space="preserve">severity’ of </w:t>
      </w:r>
      <w:r w:rsidRPr="088F2921">
        <w:rPr>
          <w:rFonts w:ascii="Calibri" w:eastAsia="MS Mincho" w:hAnsi="Calibri" w:cs="Calibri"/>
        </w:rPr>
        <w:t>PTSD symptoms</w:t>
      </w:r>
      <w:r w:rsidR="007C2D7F" w:rsidRPr="088F2921">
        <w:rPr>
          <w:rFonts w:ascii="Calibri" w:eastAsia="MS Mincho" w:hAnsi="Calibri" w:cs="Calibri"/>
        </w:rPr>
        <w:t>, self-reported</w:t>
      </w:r>
      <w:r w:rsidR="003A1C8B" w:rsidRPr="088F2921">
        <w:rPr>
          <w:rFonts w:ascii="Calibri" w:eastAsia="MS Mincho" w:hAnsi="Calibri" w:cs="Calibri"/>
        </w:rPr>
        <w:t xml:space="preserve"> trauma-related </w:t>
      </w:r>
      <w:r w:rsidR="007C2D7F" w:rsidRPr="088F2921">
        <w:rPr>
          <w:rFonts w:ascii="Calibri" w:eastAsia="MS Mincho" w:hAnsi="Calibri" w:cs="Calibri"/>
        </w:rPr>
        <w:t>cognitive processes (appraisals, memory, and coping) were correlated with PTSD symptom</w:t>
      </w:r>
      <w:r w:rsidR="003A1C8B" w:rsidRPr="088F2921">
        <w:rPr>
          <w:rFonts w:ascii="Calibri" w:eastAsia="MS Mincho" w:hAnsi="Calibri" w:cs="Calibri"/>
        </w:rPr>
        <w:t>ology</w:t>
      </w:r>
      <w:r w:rsidR="007C2D7F" w:rsidRPr="088F2921">
        <w:rPr>
          <w:rFonts w:ascii="Calibri" w:eastAsia="MS Mincho" w:hAnsi="Calibri" w:cs="Calibri"/>
        </w:rPr>
        <w:t xml:space="preserve">. In other words, PTSD </w:t>
      </w:r>
      <w:r w:rsidR="003A1C8B" w:rsidRPr="088F2921">
        <w:rPr>
          <w:rFonts w:ascii="Calibri" w:eastAsia="MS Mincho" w:hAnsi="Calibri" w:cs="Calibri"/>
        </w:rPr>
        <w:t>experienced by</w:t>
      </w:r>
      <w:r w:rsidR="007C2D7F" w:rsidRPr="088F2921">
        <w:rPr>
          <w:rFonts w:ascii="Calibri" w:eastAsia="MS Mincho" w:hAnsi="Calibri" w:cs="Calibri"/>
        </w:rPr>
        <w:t xml:space="preserve"> young people</w:t>
      </w:r>
      <w:r w:rsidR="003A1C8B" w:rsidRPr="088F2921">
        <w:rPr>
          <w:rFonts w:ascii="Calibri" w:eastAsia="MS Mincho" w:hAnsi="Calibri" w:cs="Calibri"/>
        </w:rPr>
        <w:t xml:space="preserve"> may be explained more effectively by cognitive models of PTSD, rather than by external assessments of trauma severity</w:t>
      </w:r>
      <w:r w:rsidR="00623834">
        <w:rPr>
          <w:rFonts w:ascii="Calibri" w:eastAsia="MS Mincho" w:hAnsi="Calibri" w:cs="Calibri"/>
        </w:rPr>
        <w:t>.</w:t>
      </w:r>
      <w:r w:rsidRPr="088F2921">
        <w:rPr>
          <w:rFonts w:ascii="Calibri" w:eastAsia="MS Mincho" w:hAnsi="Calibri" w:cs="Calibri"/>
        </w:rPr>
        <w:t xml:space="preserve">  </w:t>
      </w:r>
      <w:r w:rsidR="003A1C8B" w:rsidRPr="088F2921">
        <w:rPr>
          <w:rFonts w:ascii="Calibri" w:eastAsia="MS Mincho" w:hAnsi="Calibri" w:cs="Calibri"/>
        </w:rPr>
        <w:t>T</w:t>
      </w:r>
      <w:r w:rsidRPr="088F2921">
        <w:rPr>
          <w:rFonts w:ascii="Calibri" w:eastAsia="MS Mincho" w:hAnsi="Calibri" w:cs="Calibri"/>
        </w:rPr>
        <w:t>his may not be well</w:t>
      </w:r>
      <w:r w:rsidR="003A1C8B" w:rsidRPr="088F2921">
        <w:rPr>
          <w:rFonts w:ascii="Calibri" w:eastAsia="MS Mincho" w:hAnsi="Calibri" w:cs="Calibri"/>
        </w:rPr>
        <w:t>-</w:t>
      </w:r>
      <w:r w:rsidRPr="088F2921">
        <w:rPr>
          <w:rFonts w:ascii="Calibri" w:eastAsia="MS Mincho" w:hAnsi="Calibri" w:cs="Calibri"/>
        </w:rPr>
        <w:t xml:space="preserve">known and as thoroughly embedded within service design, delivery and the training and supervision of professionals working within this area of practice. </w:t>
      </w:r>
    </w:p>
    <w:p w14:paraId="0B7E0860" w14:textId="77777777" w:rsidR="0079774D" w:rsidRPr="00055D66" w:rsidRDefault="0079774D" w:rsidP="0079774D">
      <w:pPr>
        <w:spacing w:line="360" w:lineRule="auto"/>
        <w:rPr>
          <w:rFonts w:ascii="Calibri" w:eastAsia="MS Mincho" w:hAnsi="Calibri" w:cs="Calibri"/>
        </w:rPr>
      </w:pPr>
    </w:p>
    <w:p w14:paraId="7D14077D" w14:textId="6EDB6915"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Maternal</w:t>
      </w:r>
      <w:r w:rsidR="00C66173">
        <w:rPr>
          <w:rFonts w:ascii="Calibri" w:eastAsia="MS Mincho" w:hAnsi="Calibri" w:cs="Calibri"/>
        </w:rPr>
        <w:t xml:space="preserve"> or primary carer-child </w:t>
      </w:r>
      <w:r w:rsidRPr="00055D66">
        <w:rPr>
          <w:rFonts w:ascii="Calibri" w:eastAsia="MS Mincho" w:hAnsi="Calibri" w:cs="Calibri"/>
        </w:rPr>
        <w:t xml:space="preserve"> attachment patterns may be an indicator for longer-term outcomes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{"citationItems":[{"id":"ITEM-1","itemData":{"DOI":"10.1080/14616730802500826","ISBN":"1461-6734","ISSN":"14616734","PMID":"19197704","abstract":"An intergenerational study examined mothers' insecure attachment style using the Attachment Style Interview (ASI; Bifulco et al., 2002a) in relation to her history of partner relationships, her parenting competence, and depression or anxiety disorder in her offspring. The sample comprised 146 high-risk, mother-adolescent offspring pairs in London, who were recruited on the basis of the mothers' psychosocial vulnerability for depression. Retrospective, biographical, and clinical interviews were undertaken independently with mother and offspring. A path model was developed, which showed that mothers' insecure attachment style had no direct link to either recalled child neglect/abuse or currently assessed disorder in their adolescent and young adult offspring. The connections appeared to be indirect, through the quality of relationships in the family system: mothers' insecure attachment and their partners' problem behavior accounted for variance in mothers' incompetent parenting as rated by interviewers. These variables predicted her neglect/abuse of the child, which was the only variable directly associated with internalizing disorder in her offspring. Mother's lifetime depression did not add to the model. It is argued that an ecological approach (emphasizing social adversity and different role domains) and a lifespan approach (emphasizing a history of adverse relationships a different life stages) is important in understanding the mechanisms by which parental insecure attachment style influences transmission of risk to the next generation.","author":[{"dropping-particle":"","family":"Bifulco","given":"Antonia","non-dropping-particle":"","parse-names":false,"suffix":""},{"dropping-particle":"","family":"Moran","given":"Patricia","non-dropping-particle":"","parse-names":false,"suffix":""},{"dropping-particle":"","family":"Jacobs","given":"Catherine","non-dropping-particle":"","parse-names":false,"suffix":""},{"dropping-particle":"","family":"Bunn","given":"Amanda","non-dropping-particle":"","parse-names":false,"suffix":""}],"container-title":"Attachment and Human Development","id":"ITEM-1","issue":"1","issued":{"date-parts":[["2009"]]},"page":"69-85","title":"Problem partners and parenting: Exploring linkages with maternal insecure attachment style and adolescent offspring internalizing disorder","type":"article-journal","volume":"11"},"uris":["http://www.mendeley.com/documents/?uuid=a8374d17-b2c4-4491-abcb-a8899bb36f61"]}],"mendeley":{"formattedCitation":"(Bifulco &lt;i&gt;et al.&lt;/i&gt;, 2009)","plainTextFormattedCitation":"(Bifulco et al., 2009)","previouslyFormattedCitation":"(Bifulco &lt;i&gt;et al.&lt;/i&gt;, 2009)"},"properties":{"noteIndex":0},"schema":"https://github.com/citation-style-language/schema/raw/master/csl-citation.json"}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(Bifulco </w:t>
      </w:r>
      <w:r w:rsidR="0080697E" w:rsidRPr="0080697E">
        <w:rPr>
          <w:rFonts w:ascii="Calibri" w:eastAsia="MS Mincho" w:hAnsi="Calibri" w:cs="Calibri"/>
          <w:i/>
          <w:iCs/>
          <w:noProof/>
        </w:rPr>
        <w:t>et al</w:t>
      </w:r>
      <w:r w:rsidR="0080697E">
        <w:rPr>
          <w:rFonts w:ascii="Calibri" w:eastAsia="MS Mincho" w:hAnsi="Calibri" w:cs="Calibri"/>
          <w:noProof/>
        </w:rPr>
        <w:t>.,</w:t>
      </w:r>
      <w:r w:rsidRPr="00055D66">
        <w:rPr>
          <w:rFonts w:ascii="Calibri" w:eastAsia="MS Mincho" w:hAnsi="Calibri" w:cs="Calibri"/>
          <w:noProof/>
        </w:rPr>
        <w:t xml:space="preserve"> 2009)</w:t>
      </w:r>
      <w:r w:rsidRPr="00055D66">
        <w:rPr>
          <w:rFonts w:ascii="Calibri" w:eastAsia="MS Mincho" w:hAnsi="Calibri" w:cs="Calibri"/>
        </w:rPr>
        <w:fldChar w:fldCharType="end"/>
      </w:r>
      <w:r w:rsidRPr="00055D66">
        <w:rPr>
          <w:rFonts w:ascii="Calibri" w:eastAsia="MS Mincho" w:hAnsi="Calibri" w:cs="Calibri"/>
        </w:rPr>
        <w:t xml:space="preserve">. A sample comprised 146 high-risk, mother–adolescent offspring </w:t>
      </w:r>
      <w:r w:rsidRPr="00055D66">
        <w:rPr>
          <w:rFonts w:ascii="Calibri" w:eastAsia="MS Mincho" w:hAnsi="Calibri" w:cs="Calibri"/>
        </w:rPr>
        <w:lastRenderedPageBreak/>
        <w:t xml:space="preserve">pairs in London were recruited on the basis of the mothers’ psychosocial vulnerability for depression. The model shows a direct association between incompetent parenting (as assessed by the interviewer) and her maltreatment of her offspring. However, it also important to remember that this is not a predictor of later life outcomes and other factors may influence this transmission of risk between generations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{"citationItems":[{"id":"ITEM-1","itemData":{"DOI":"10.1080/14616730802500826","ISBN":"1461-6734","ISSN":"14616734","PMID":"19197704","abstract":"An intergenerational study examined mothers' insecure attachment style using the Attachment Style Interview (ASI; Bifulco et al., 2002a) in relation to her history of partner relationships, her parenting competence, and depression or anxiety disorder in her offspring. The sample comprised 146 high-risk, mother-adolescent offspring pairs in London, who were recruited on the basis of the mothers' psychosocial vulnerability for depression. Retrospective, biographical, and clinical interviews were undertaken independently with mother and offspring. A path model was developed, which showed that mothers' insecure attachment style had no direct link to either recalled child neglect/abuse or currently assessed disorder in their adolescent and young adult offspring. The connections appeared to be indirect, through the quality of relationships in the family system: mothers' insecure attachment and their partners' problem behavior accounted for variance in mothers' incompetent parenting as rated by interviewers. These variables predicted her neglect/abuse of the child, which was the only variable directly associated with internalizing disorder in her offspring. Mother's lifetime depression did not add to the model. It is argued that an ecological approach (emphasizing social adversity and different role domains) and a lifespan approach (emphasizing a history of adverse relationships a different life stages) is important in understanding the mechanisms by which parental insecure attachment style influences transmission of risk to the next generation.","author":[{"dropping-particle":"","family":"Bifulco","given":"Antonia","non-dropping-particle":"","parse-names":false,"suffix":""},{"dropping-particle":"","family":"Moran","given":"Patricia","non-dropping-particle":"","parse-names":false,"suffix":""},{"dropping-particle":"","family":"Jacobs","given":"Catherine","non-dropping-particle":"","parse-names":false,"suffix":""},{"dropping-particle":"","family":"Bunn","given":"Amanda","non-dropping-particle":"","parse-names":false,"suffix":""}],"container-title":"Attachment and Human Development","id":"ITEM-1","issue":"1","issued":{"date-parts":[["2009"]]},"page":"69-85","title":"Problem partners and parenting: Exploring linkages with maternal insecure attachment style and adolescent offspring internalizing disorder","type":"article-journal","volume":"11"},"uris":["http://www.mendeley.com/documents/?uuid=a8374d17-b2c4-4491-abcb-a8899bb36f61"]}],"mendeley":{"formattedCitation":"(Bifulco &lt;i&gt;et al.&lt;/i&gt;, 2009)","plainTextFormattedCitation":"(Bifulco et al., 2009)","previouslyFormattedCitation":"(Bifulco &lt;i&gt;et al.&lt;/i&gt;, 2009)"},"properties":{"noteIndex":0},"schema":"https://github.com/citation-style-language/schema/raw/master/csl-citation.json"}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(Bifulco </w:t>
      </w:r>
      <w:r w:rsidR="0080697E" w:rsidRPr="0080697E">
        <w:rPr>
          <w:rFonts w:ascii="Calibri" w:eastAsia="MS Mincho" w:hAnsi="Calibri" w:cs="Calibri"/>
          <w:i/>
          <w:iCs/>
          <w:noProof/>
        </w:rPr>
        <w:t>et al</w:t>
      </w:r>
      <w:r w:rsidR="0080697E">
        <w:rPr>
          <w:rFonts w:ascii="Calibri" w:eastAsia="MS Mincho" w:hAnsi="Calibri" w:cs="Calibri"/>
          <w:noProof/>
        </w:rPr>
        <w:t>.,</w:t>
      </w:r>
      <w:r w:rsidRPr="00055D66">
        <w:rPr>
          <w:rFonts w:ascii="Calibri" w:eastAsia="MS Mincho" w:hAnsi="Calibri" w:cs="Calibri"/>
          <w:noProof/>
        </w:rPr>
        <w:t xml:space="preserve"> 2009)</w:t>
      </w:r>
      <w:r w:rsidRPr="00055D66">
        <w:rPr>
          <w:rFonts w:ascii="Calibri" w:eastAsia="MS Mincho" w:hAnsi="Calibri" w:cs="Calibri"/>
        </w:rPr>
        <w:fldChar w:fldCharType="end"/>
      </w:r>
      <w:r w:rsidRPr="00055D66">
        <w:rPr>
          <w:rFonts w:ascii="Calibri" w:eastAsia="MS Mincho" w:hAnsi="Calibri" w:cs="Calibri"/>
        </w:rPr>
        <w:t xml:space="preserve">. </w:t>
      </w:r>
    </w:p>
    <w:p w14:paraId="04704498" w14:textId="77777777" w:rsidR="0079774D" w:rsidRPr="00055D66" w:rsidRDefault="0079774D" w:rsidP="0079774D">
      <w:pPr>
        <w:spacing w:line="360" w:lineRule="auto"/>
        <w:rPr>
          <w:rFonts w:ascii="Calibri" w:eastAsia="MS Mincho" w:hAnsi="Calibri" w:cs="Calibri"/>
        </w:rPr>
      </w:pPr>
    </w:p>
    <w:p w14:paraId="261591E1" w14:textId="2714A895" w:rsidR="0079774D" w:rsidRPr="00AB3152" w:rsidRDefault="0079774D" w:rsidP="0079774D">
      <w:pPr>
        <w:spacing w:line="360" w:lineRule="auto"/>
        <w:rPr>
          <w:rFonts w:ascii="Calibri" w:eastAsia="MS Mincho" w:hAnsi="Calibri" w:cs="Calibri"/>
          <w:i/>
          <w:iCs/>
        </w:rPr>
      </w:pPr>
      <w:r w:rsidRPr="008A1439">
        <w:rPr>
          <w:rFonts w:ascii="Calibri" w:eastAsia="MS Mincho" w:hAnsi="Calibri" w:cs="Calibri"/>
          <w:i/>
          <w:iCs/>
        </w:rPr>
        <w:t>2.2.</w:t>
      </w:r>
      <w:r w:rsidR="00114D69">
        <w:rPr>
          <w:rFonts w:ascii="Calibri" w:eastAsia="MS Mincho" w:hAnsi="Calibri" w:cs="Calibri"/>
          <w:i/>
          <w:iCs/>
        </w:rPr>
        <w:t>9</w:t>
      </w:r>
      <w:r w:rsidRPr="008A1439">
        <w:rPr>
          <w:rFonts w:ascii="Calibri" w:eastAsia="MS Mincho" w:hAnsi="Calibri" w:cs="Calibri"/>
          <w:i/>
          <w:iCs/>
        </w:rPr>
        <w:t xml:space="preserve"> Crime and justice</w:t>
      </w:r>
      <w:r w:rsidRPr="00AB3152">
        <w:rPr>
          <w:rFonts w:ascii="Calibri" w:eastAsia="MS Mincho" w:hAnsi="Calibri" w:cs="Calibri"/>
          <w:i/>
          <w:iCs/>
        </w:rPr>
        <w:t xml:space="preserve"> </w:t>
      </w:r>
    </w:p>
    <w:p w14:paraId="248A3969" w14:textId="69409243"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In 2017, men constituted 95% of the prison population in England and Wales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{"citationItems":[{"id":"ITEM-1","itemData":{"ISSN":"0039-2499","abstract":"Briefing Paper Number SN/SG/04334","author":[{"dropping-particle":"","family":"Sturge","given":"G","non-dropping-particle":"","parse-names":false,"suffix":""}],"container-title":"Ministry of Justice","id":"ITEM-1","issue":"April","issued":{"date-parts":[["2018"]]},"page":"1 - 48","title":"UK Prison Population Statistics 2017","type":"article-journal"},"uris":["http://www.mendeley.com/documents/?uuid=5d35a2e8-7eec-444e-bab8-d2a081a8bc56"]}],"mendeley":{"formattedCitation":"(Sturge, 2018)","plainTextFormattedCitation":"(Sturge, 2018)","previouslyFormattedCitation":"(Sturge, 2018)"},"properties":{"noteIndex":0},"schema":"https://github.com/citation-style-language/schema/raw/master/csl-citation.json"}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(Sturge, 2018)</w:t>
      </w:r>
      <w:r w:rsidRPr="00055D66">
        <w:rPr>
          <w:rFonts w:ascii="Calibri" w:eastAsia="MS Mincho" w:hAnsi="Calibri" w:cs="Calibri"/>
        </w:rPr>
        <w:fldChar w:fldCharType="end"/>
      </w:r>
      <w:r w:rsidRPr="00055D66">
        <w:rPr>
          <w:rFonts w:ascii="Calibri" w:eastAsia="MS Mincho" w:hAnsi="Calibri" w:cs="Calibri"/>
        </w:rPr>
        <w:t xml:space="preserve">. Globally, males account for 82% of all homicide victims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{"citationItems":[{"id":"ITEM-1","itemData":{"author":[{"dropping-particle":"","family":"WHO","given":"","non-dropping-particle":"","parse-names":false,"suffix":""}],"id":"ITEM-1","issued":{"date-parts":[["2014"]]},"title":"GLOBAL STATUS REPORT ON VIOLENCE PREVENTION 2014","type":"report"},"locator":"9","uris":["http://www.mendeley.com/documents/?uuid=63f5c209-1dec-4b62-bd03-7757f5548068"]}],"mendeley":{"formattedCitation":"(WHO, 2014, p. 9)","plainTextFormattedCitation":"(WHO, 2014, p. 9)","previouslyFormattedCitation":"(WHO, 2014, p. 9)"},"properties":{"noteIndex":0},"schema":"https://github.com/citation-style-language/schema/raw/master/csl-citation.json"}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(WHO, 2014, p. 9)</w:t>
      </w:r>
      <w:r w:rsidRPr="00055D66">
        <w:rPr>
          <w:rFonts w:ascii="Calibri" w:eastAsia="MS Mincho" w:hAnsi="Calibri" w:cs="Calibri"/>
        </w:rPr>
        <w:fldChar w:fldCharType="end"/>
      </w:r>
      <w:r>
        <w:rPr>
          <w:rFonts w:ascii="Calibri" w:eastAsia="MS Mincho" w:hAnsi="Calibri" w:cs="Calibri"/>
        </w:rPr>
        <w:t xml:space="preserve"> and s</w:t>
      </w:r>
      <w:r w:rsidRPr="00055D66">
        <w:rPr>
          <w:rFonts w:ascii="Calibri" w:eastAsia="MS Mincho" w:hAnsi="Calibri" w:cs="Calibri"/>
        </w:rPr>
        <w:t>uicide is one of the leading causes of death among men around the world</w:t>
      </w:r>
      <w:r w:rsidR="0080697E">
        <w:rPr>
          <w:rFonts w:ascii="Calibri" w:eastAsia="MS Mincho" w:hAnsi="Calibri" w:cs="Calibri"/>
        </w:rPr>
        <w:t>, and within the UK this has remained the case over the last decade at least, especially for men 20-34 years old</w:t>
      </w:r>
      <w:r w:rsidRPr="00055D66">
        <w:rPr>
          <w:rFonts w:ascii="Calibri" w:eastAsia="MS Mincho" w:hAnsi="Calibri" w:cs="Calibri"/>
        </w:rPr>
        <w:t xml:space="preserv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Sveticic","given":"Jerneja","non-dropping-particle":"","parse-names":false,"suffix":""},{"dropping-particle":"","family":"Wallwork","given":"Glen","non-dropping-particle":"","parse-names":false,"suffix":""}],"id":"ITEM-1","issued":{"date-parts":[["2018"]]},"title":"Suicide prevention in young men Literature review of evidence-based research on services provided by Wesley Mission","type":"report"},"uris":["http://www.mendeley.com/documents/?uuid=dde723cd-753c-3ff3-983f-8f919fe14755"]}],"mendeley":{"formattedCitation":"(Sveticic and Wallwork, 2018)","plainTextFormattedCitation":"(Sveticic and Wallwork, 2018)","previouslyFormattedCitation":"(Sveticic and Wallwork, 2018)"},"properties":{"noteIndex":0},"schema":"https://github.com/citation-style-language/schema/raw/master/csl-citation.json"}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w:t>
      </w:r>
      <w:r w:rsidR="0080697E" w:rsidRPr="00055D66" w:rsidDel="0080697E">
        <w:rPr>
          <w:rFonts w:ascii="Calibri" w:eastAsia="MS Mincho" w:hAnsi="Calibri" w:cs="Calibri"/>
          <w:noProof/>
        </w:rPr>
        <w:t xml:space="preserve"> </w:t>
      </w:r>
      <w:r w:rsidR="0080697E">
        <w:rPr>
          <w:rFonts w:ascii="Calibri" w:eastAsia="MS Mincho" w:hAnsi="Calibri" w:cs="Calibri"/>
          <w:noProof/>
        </w:rPr>
        <w:t>Office for National Statistics, 2020)</w:t>
      </w:r>
      <w:r w:rsidRPr="00055D66">
        <w:rPr>
          <w:rFonts w:ascii="Calibri" w:eastAsia="MS Mincho" w:hAnsi="Calibri" w:cs="Calibri"/>
        </w:rPr>
        <w:fldChar w:fldCharType="end"/>
      </w:r>
      <w:r w:rsidRPr="00055D66">
        <w:rPr>
          <w:rFonts w:ascii="Calibri" w:eastAsia="MS Mincho" w:hAnsi="Calibri" w:cs="Calibri"/>
        </w:rPr>
        <w:t xml:space="preserve">. UK researchers in masculinity studies, Harland and McCready (2015), ask ‘is violence a male problem?’ in their research </w:t>
      </w:r>
      <w:r>
        <w:rPr>
          <w:rFonts w:ascii="Calibri" w:eastAsia="MS Mincho" w:hAnsi="Calibri" w:cs="Calibri"/>
        </w:rPr>
        <w:t>concerning</w:t>
      </w:r>
      <w:r w:rsidRPr="00055D66">
        <w:rPr>
          <w:rFonts w:ascii="Calibri" w:eastAsia="MS Mincho" w:hAnsi="Calibri" w:cs="Calibri"/>
        </w:rPr>
        <w:t xml:space="preserve"> masculinity in Northern Ireland. The </w:t>
      </w:r>
      <w:r w:rsidRPr="00055D66">
        <w:rPr>
          <w:rFonts w:ascii="Calibri" w:eastAsia="MS Mincho" w:hAnsi="Calibri" w:cs="Calibri"/>
          <w:i/>
          <w:iCs/>
        </w:rPr>
        <w:t>What Works Centre for Children’s Social Care</w:t>
      </w:r>
      <w:r w:rsidRPr="00055D66">
        <w:rPr>
          <w:rFonts w:ascii="Calibri" w:eastAsia="MS Mincho" w:hAnsi="Calibri" w:cs="Calibri"/>
        </w:rPr>
        <w:t xml:space="preserve"> uses randomised controlled trials to support the safe reduction of the need for children to enter care (</w:t>
      </w:r>
      <w:hyperlink r:id="rId13" w:history="1">
        <w:r w:rsidRPr="00055D66">
          <w:rPr>
            <w:rFonts w:ascii="Calibri" w:eastAsia="MS Mincho" w:hAnsi="Calibri" w:cs="Calibri"/>
            <w:color w:val="0000FF"/>
            <w:u w:val="single"/>
          </w:rPr>
          <w:t>whatworks-csc.org.uk</w:t>
        </w:r>
      </w:hyperlink>
      <w:r w:rsidRPr="00055D66">
        <w:rPr>
          <w:rFonts w:ascii="Calibri" w:eastAsia="MS Mincho" w:hAnsi="Calibri" w:cs="Calibri"/>
        </w:rPr>
        <w:t>, 2019).  Some of the broader work this centre carrie</w:t>
      </w:r>
      <w:r>
        <w:rPr>
          <w:rFonts w:ascii="Calibri" w:eastAsia="MS Mincho" w:hAnsi="Calibri" w:cs="Calibri"/>
        </w:rPr>
        <w:t>d</w:t>
      </w:r>
      <w:r w:rsidRPr="00055D66">
        <w:rPr>
          <w:rFonts w:ascii="Calibri" w:eastAsia="MS Mincho" w:hAnsi="Calibri" w:cs="Calibri"/>
        </w:rPr>
        <w:t xml:space="preserve"> out is drawn upon to help provide a UK context for social care interventions.</w:t>
      </w:r>
    </w:p>
    <w:p w14:paraId="65C92E5C" w14:textId="77777777" w:rsidR="0079774D" w:rsidRPr="00055D66" w:rsidRDefault="0079774D" w:rsidP="0079774D">
      <w:pPr>
        <w:spacing w:line="360" w:lineRule="auto"/>
        <w:rPr>
          <w:rFonts w:ascii="Calibri" w:eastAsia="MS Mincho" w:hAnsi="Calibri" w:cs="Calibri"/>
        </w:rPr>
      </w:pPr>
    </w:p>
    <w:p w14:paraId="7204689E" w14:textId="5AD9E68B" w:rsidR="0079774D" w:rsidRDefault="0079774D" w:rsidP="0079774D">
      <w:pPr>
        <w:spacing w:line="360" w:lineRule="auto"/>
        <w:rPr>
          <w:rFonts w:ascii="Calibri" w:eastAsia="MS Mincho" w:hAnsi="Calibri" w:cs="Calibri"/>
        </w:rPr>
      </w:pPr>
      <w:r w:rsidRPr="00055D66">
        <w:rPr>
          <w:rFonts w:ascii="Calibri" w:eastAsia="MS Mincho" w:hAnsi="Calibri" w:cs="Calibri"/>
        </w:rPr>
        <w:t>Looked After Children (LAC) are four times more likely to be involved in the youth justice system (Department of Education, Children Looked After in England, 2017)</w:t>
      </w:r>
      <w:r>
        <w:rPr>
          <w:rFonts w:ascii="Calibri" w:eastAsia="MS Mincho" w:hAnsi="Calibri" w:cs="Calibri"/>
        </w:rPr>
        <w:t xml:space="preserve"> and</w:t>
      </w:r>
      <w:r w:rsidRPr="00055D66">
        <w:rPr>
          <w:rFonts w:ascii="Calibri" w:eastAsia="MS Mincho" w:hAnsi="Calibri" w:cs="Calibri"/>
        </w:rPr>
        <w:t xml:space="preserve"> </w:t>
      </w:r>
      <w:r>
        <w:rPr>
          <w:rFonts w:ascii="Calibri" w:eastAsia="MS Mincho" w:hAnsi="Calibri" w:cs="Calibri"/>
        </w:rPr>
        <w:t>y</w:t>
      </w:r>
      <w:r w:rsidRPr="00055D66">
        <w:rPr>
          <w:rFonts w:ascii="Calibri" w:eastAsia="MS Mincho" w:hAnsi="Calibri" w:cs="Calibri"/>
        </w:rPr>
        <w:t xml:space="preserve">oung black </w:t>
      </w:r>
      <w:r>
        <w:rPr>
          <w:rFonts w:ascii="Calibri" w:eastAsia="MS Mincho" w:hAnsi="Calibri" w:cs="Calibri"/>
        </w:rPr>
        <w:t>men</w:t>
      </w:r>
      <w:r w:rsidRPr="00055D66">
        <w:rPr>
          <w:rFonts w:ascii="Calibri" w:eastAsia="MS Mincho" w:hAnsi="Calibri" w:cs="Calibri"/>
        </w:rPr>
        <w:t>, such as Chris, the 14-year-old from Newham discussed in the earlier SCR, are disproportionately represented in the criminal justice system (</w:t>
      </w:r>
      <w:r w:rsidR="0080697E">
        <w:rPr>
          <w:rFonts w:ascii="Calibri" w:eastAsia="MS Mincho" w:hAnsi="Calibri" w:cs="Calibri"/>
        </w:rPr>
        <w:t>Hill, 2018</w:t>
      </w:r>
      <w:r w:rsidRPr="00055D66">
        <w:rPr>
          <w:rFonts w:ascii="Calibri" w:eastAsia="MS Mincho" w:hAnsi="Calibri" w:cs="Calibri"/>
        </w:rPr>
        <w:t xml:space="preserve">). </w:t>
      </w:r>
    </w:p>
    <w:p w14:paraId="2E2E7680" w14:textId="77777777" w:rsidR="0079774D" w:rsidRDefault="0079774D" w:rsidP="0079774D">
      <w:pPr>
        <w:spacing w:line="360" w:lineRule="auto"/>
        <w:rPr>
          <w:rFonts w:ascii="Calibri" w:eastAsia="MS Mincho" w:hAnsi="Calibri" w:cs="Calibri"/>
        </w:rPr>
      </w:pPr>
    </w:p>
    <w:p w14:paraId="4784E524" w14:textId="33BCFA44"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During judicial processes, young people have reported that they were not treated in a fair or respectful manner by court, were often left feeling confused and intimidated. </w:t>
      </w:r>
      <w:r w:rsidR="00301C85" w:rsidRPr="088F2921">
        <w:rPr>
          <w:rFonts w:ascii="Calibri" w:eastAsia="MS Mincho" w:hAnsi="Calibri" w:cs="Calibri"/>
        </w:rPr>
        <w:t>A</w:t>
      </w:r>
      <w:r w:rsidRPr="088F2921">
        <w:rPr>
          <w:rFonts w:ascii="Calibri" w:eastAsia="MS Mincho" w:hAnsi="Calibri" w:cs="Calibri"/>
        </w:rPr>
        <w:t xml:space="preserve">nd unsure why they had been arrested or what their legal rights were (Hazel </w:t>
      </w:r>
      <w:r w:rsidR="0080697E" w:rsidRPr="0080697E">
        <w:rPr>
          <w:rFonts w:ascii="Calibri" w:eastAsia="MS Mincho" w:hAnsi="Calibri" w:cs="Calibri"/>
          <w:i/>
          <w:iCs/>
        </w:rPr>
        <w:t>et al</w:t>
      </w:r>
      <w:r w:rsidR="0080697E">
        <w:rPr>
          <w:rFonts w:ascii="Calibri" w:eastAsia="MS Mincho" w:hAnsi="Calibri" w:cs="Calibri"/>
        </w:rPr>
        <w:t>.,</w:t>
      </w:r>
      <w:r w:rsidRPr="088F2921">
        <w:rPr>
          <w:rFonts w:ascii="Calibri" w:eastAsia="MS Mincho" w:hAnsi="Calibri" w:cs="Calibri"/>
        </w:rPr>
        <w:t xml:space="preserve"> 2002). Boys and young men may be more likely to be treated as and punished as ‘mini’ adults, regardless of the need for </w:t>
      </w:r>
      <w:r w:rsidRPr="088F2921">
        <w:rPr>
          <w:rFonts w:ascii="Calibri" w:eastAsia="MS Mincho" w:hAnsi="Calibri" w:cs="Calibri"/>
        </w:rPr>
        <w:lastRenderedPageBreak/>
        <w:t>age-appropriate interventions during adolescent years.</w:t>
      </w:r>
      <w:r w:rsidR="316B4E13" w:rsidRPr="088F2921">
        <w:rPr>
          <w:rFonts w:ascii="Calibri" w:eastAsia="MS Mincho" w:hAnsi="Calibri" w:cs="Calibri"/>
        </w:rPr>
        <w:t xml:space="preserve"> Thompson (2019) highlights the almost exclusively punitive approaches to policy in this area and the problematic nature of simplistic no</w:t>
      </w:r>
      <w:r w:rsidR="5218DB7A" w:rsidRPr="088F2921">
        <w:rPr>
          <w:rFonts w:ascii="Calibri" w:eastAsia="MS Mincho" w:hAnsi="Calibri" w:cs="Calibri"/>
        </w:rPr>
        <w:t xml:space="preserve">tions of ‘choice’ by young people who become involved in illegal activities, especially those with less </w:t>
      </w:r>
      <w:r w:rsidR="454BAEB2" w:rsidRPr="088F2921">
        <w:rPr>
          <w:rFonts w:ascii="Calibri" w:eastAsia="MS Mincho" w:hAnsi="Calibri" w:cs="Calibri"/>
        </w:rPr>
        <w:t xml:space="preserve">experience or </w:t>
      </w:r>
      <w:r w:rsidR="5218DB7A" w:rsidRPr="088F2921">
        <w:rPr>
          <w:rFonts w:ascii="Calibri" w:eastAsia="MS Mincho" w:hAnsi="Calibri" w:cs="Calibri"/>
        </w:rPr>
        <w:t>understanding of ‘healthy’ relationsh</w:t>
      </w:r>
      <w:r w:rsidR="55B69C4B" w:rsidRPr="088F2921">
        <w:rPr>
          <w:rFonts w:ascii="Calibri" w:eastAsia="MS Mincho" w:hAnsi="Calibri" w:cs="Calibri"/>
        </w:rPr>
        <w:t>ips, low self</w:t>
      </w:r>
      <w:r w:rsidR="6B044AA8" w:rsidRPr="088F2921">
        <w:rPr>
          <w:rFonts w:ascii="Calibri" w:eastAsia="MS Mincho" w:hAnsi="Calibri" w:cs="Calibri"/>
        </w:rPr>
        <w:t>-</w:t>
      </w:r>
      <w:r w:rsidR="55B69C4B" w:rsidRPr="088F2921">
        <w:rPr>
          <w:rFonts w:ascii="Calibri" w:eastAsia="MS Mincho" w:hAnsi="Calibri" w:cs="Calibri"/>
        </w:rPr>
        <w:t xml:space="preserve">esteem </w:t>
      </w:r>
      <w:r w:rsidR="00FA5A97" w:rsidRPr="088F2921">
        <w:rPr>
          <w:rFonts w:ascii="Calibri" w:eastAsia="MS Mincho" w:hAnsi="Calibri" w:cs="Calibri"/>
        </w:rPr>
        <w:t>and especially</w:t>
      </w:r>
      <w:r w:rsidR="0DA0CE84" w:rsidRPr="088F2921">
        <w:rPr>
          <w:rFonts w:ascii="Calibri" w:eastAsia="MS Mincho" w:hAnsi="Calibri" w:cs="Calibri"/>
        </w:rPr>
        <w:t xml:space="preserve"> those with learning difficulties or disabilities. </w:t>
      </w:r>
      <w:r w:rsidR="74CE31F3" w:rsidRPr="088F2921">
        <w:rPr>
          <w:rFonts w:ascii="Calibri" w:eastAsia="MS Mincho" w:hAnsi="Calibri" w:cs="Calibri"/>
        </w:rPr>
        <w:t xml:space="preserve">This is supported too by the findings in the Home Office (2020) report in which a range of factors increasing vulnerability to exploitation are identified. </w:t>
      </w:r>
    </w:p>
    <w:p w14:paraId="7D4514BE" w14:textId="153F6B81" w:rsidR="088F2921" w:rsidRDefault="088F2921" w:rsidP="088F2921">
      <w:pPr>
        <w:spacing w:line="360" w:lineRule="auto"/>
        <w:rPr>
          <w:rFonts w:ascii="Calibri" w:eastAsia="MS Mincho" w:hAnsi="Calibri" w:cs="Calibri"/>
        </w:rPr>
      </w:pPr>
    </w:p>
    <w:p w14:paraId="2269AC60" w14:textId="1BFF3CF8" w:rsidR="0079774D" w:rsidRPr="00BC1748" w:rsidRDefault="0079774D" w:rsidP="0079774D">
      <w:pPr>
        <w:spacing w:line="360" w:lineRule="auto"/>
        <w:rPr>
          <w:rFonts w:ascii="Calibri" w:eastAsia="MS Mincho" w:hAnsi="Calibri" w:cs="Calibri"/>
          <w:i/>
          <w:iCs/>
        </w:rPr>
      </w:pPr>
      <w:r w:rsidRPr="00BC1748">
        <w:rPr>
          <w:rFonts w:ascii="Calibri" w:eastAsia="MS Mincho" w:hAnsi="Calibri" w:cs="Calibri"/>
          <w:i/>
          <w:iCs/>
        </w:rPr>
        <w:t>2.2.</w:t>
      </w:r>
      <w:r w:rsidR="00114D69">
        <w:rPr>
          <w:rFonts w:ascii="Calibri" w:eastAsia="MS Mincho" w:hAnsi="Calibri" w:cs="Calibri"/>
          <w:i/>
          <w:iCs/>
        </w:rPr>
        <w:t>10</w:t>
      </w:r>
      <w:r w:rsidRPr="00BC1748">
        <w:rPr>
          <w:rFonts w:ascii="Calibri" w:eastAsia="MS Mincho" w:hAnsi="Calibri" w:cs="Calibri"/>
          <w:i/>
          <w:iCs/>
        </w:rPr>
        <w:t xml:space="preserve"> Radicalisation and counter-terrorism</w:t>
      </w:r>
    </w:p>
    <w:p w14:paraId="4B06AD8D" w14:textId="52199A89"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In 2014, two brothers from Brighton and Hove died fighting in Syria for the Al-Nusra Front. The boys were part of a larger sibling group</w:t>
      </w:r>
      <w:r>
        <w:rPr>
          <w:rFonts w:ascii="Calibri" w:eastAsia="MS Mincho" w:hAnsi="Calibri" w:cs="Calibri"/>
        </w:rPr>
        <w:t>, from which t</w:t>
      </w:r>
      <w:r w:rsidRPr="00055D66">
        <w:rPr>
          <w:rFonts w:ascii="Calibri" w:eastAsia="MS Mincho" w:hAnsi="Calibri" w:cs="Calibri"/>
        </w:rPr>
        <w:t xml:space="preserve">he wider family initially moved to the UK because they opposed the regime in their </w:t>
      </w:r>
      <w:r>
        <w:rPr>
          <w:rFonts w:ascii="Calibri" w:eastAsia="MS Mincho" w:hAnsi="Calibri" w:cs="Calibri"/>
        </w:rPr>
        <w:t xml:space="preserve">former home </w:t>
      </w:r>
      <w:r w:rsidRPr="00055D66">
        <w:rPr>
          <w:rFonts w:ascii="Calibri" w:eastAsia="MS Mincho" w:hAnsi="Calibri" w:cs="Calibri"/>
        </w:rPr>
        <w:t xml:space="preserve">country. </w:t>
      </w:r>
      <w:r>
        <w:rPr>
          <w:rFonts w:ascii="Calibri" w:eastAsia="MS Mincho" w:hAnsi="Calibri" w:cs="Calibri"/>
        </w:rPr>
        <w:t>In the UK, t</w:t>
      </w:r>
      <w:r w:rsidRPr="00055D66">
        <w:rPr>
          <w:rFonts w:ascii="Calibri" w:eastAsia="MS Mincho" w:hAnsi="Calibri" w:cs="Calibri"/>
        </w:rPr>
        <w:t>hey experienced racism and religiously motivated abuse and attacks. A SCR</w:t>
      </w:r>
      <w:r w:rsidR="0080697E">
        <w:rPr>
          <w:rFonts w:ascii="Calibri" w:eastAsia="MS Mincho" w:hAnsi="Calibri" w:cs="Calibri"/>
        </w:rPr>
        <w:t xml:space="preserve"> (Carmi and Gianfresco</w:t>
      </w:r>
      <w:r w:rsidR="0080697E" w:rsidRPr="088F2921">
        <w:rPr>
          <w:rFonts w:ascii="Calibri" w:eastAsia="MS Mincho" w:hAnsi="Calibri" w:cs="Calibri"/>
        </w:rPr>
        <w:t xml:space="preserve">, </w:t>
      </w:r>
      <w:r w:rsidR="0080697E">
        <w:rPr>
          <w:rFonts w:ascii="Calibri" w:eastAsia="MS Mincho" w:hAnsi="Calibri" w:cs="Calibri"/>
        </w:rPr>
        <w:t>2017)</w:t>
      </w:r>
      <w:r w:rsidRPr="00055D66">
        <w:rPr>
          <w:rFonts w:ascii="Calibri" w:eastAsia="MS Mincho" w:hAnsi="Calibri" w:cs="Calibri"/>
        </w:rPr>
        <w:t xml:space="preserve"> </w:t>
      </w:r>
      <w:r>
        <w:rPr>
          <w:rFonts w:ascii="Calibri" w:eastAsia="MS Mincho" w:hAnsi="Calibri" w:cs="Calibri"/>
        </w:rPr>
        <w:t xml:space="preserve">into the two brothers </w:t>
      </w:r>
      <w:r w:rsidRPr="00055D66">
        <w:rPr>
          <w:rFonts w:ascii="Calibri" w:eastAsia="MS Mincho" w:hAnsi="Calibri" w:cs="Calibri"/>
        </w:rPr>
        <w:t xml:space="preserve">explores the complexities the young men faced in their lives. It indicates that inadequate interventions into the family’s ‘long standing trauma’ increased the risk of them becoming vulnerable to exploitation and consequently radicalisation. </w:t>
      </w:r>
    </w:p>
    <w:p w14:paraId="5A3CC96C" w14:textId="77777777" w:rsidR="0079774D" w:rsidRPr="00055D66" w:rsidRDefault="0079774D" w:rsidP="0079774D">
      <w:pPr>
        <w:spacing w:line="360" w:lineRule="auto"/>
        <w:rPr>
          <w:rFonts w:ascii="Calibri" w:eastAsia="MS Mincho" w:hAnsi="Calibri" w:cs="Calibri"/>
        </w:rPr>
      </w:pPr>
    </w:p>
    <w:p w14:paraId="69080DD9" w14:textId="0EF4FEAA" w:rsidR="0079774D" w:rsidRDefault="0079774D" w:rsidP="0079774D">
      <w:pPr>
        <w:spacing w:line="360" w:lineRule="auto"/>
        <w:rPr>
          <w:rFonts w:ascii="Calibri" w:eastAsia="MS Mincho" w:hAnsi="Calibri" w:cs="Calibri"/>
        </w:rPr>
      </w:pPr>
      <w:r w:rsidRPr="00055D66">
        <w:rPr>
          <w:rFonts w:ascii="Calibri" w:eastAsia="MS Mincho" w:hAnsi="Calibri" w:cs="Calibri"/>
        </w:rPr>
        <w:t xml:space="preserve">﻿UK-US Government policy in relation to Islamist extremist ideologies has in recent years has focused on ‘de-radicalisation’ in counter-terrorism strategies, working with Muslim communities. Despite the emphasis on de-radicalisation interventions and claims of success associated with them, ﻿there is ‘no empirical basis’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{"citationItems":[{"id":"ITEM-1","itemData":{"DOI":"10.1080/17539153.2015.1005933","ISSN":"17539161","abstract":"De-radicalisation has become increasingly prevalent in the UK as a strategy for tackling the threat of religiously inspired violence/extremism. Recent events, such as the tragic murder of Lee Rigby in May 2013, British citizens fighting in Middle Eastern conflicts, and the emergence of the Islamic State of Iraq and Sham, have rekindled the preoccupation of policymakers with the radicalisation of British Muslims. Indeed, the work of the Prevent strategy in UK counterterrorism post-2011 has primarily been recalibrated towards a greater focus on de-radicalisation interventions, which is perceived by policy-makers to be a more streamlined and effective way of dealing with radicalised/extremist individuals. And, yet, despite the greater attention paid to de-radicalisation, the discourse on de-radicalisation is characterised by the absence of detailed research, little or no empirical evidence for policy development, and confusion surrounding its conceptual framework. This article therefore offers an alternative conceptualisation of de-radicalisation to the one found in the Prevent strategy. Drawing on the works of Foucault, I argue that de-radicalisation is best understood as a “technology of the self”. This article will enumerate the interplay between the three major types of technologies that constitute the technologies of the self: discursive, disciplinary, and confessional technology. It is argued that conceptualising de-radicalisation as a technology of the self allows us to reframe it beyond the narrow confines of counterterrorism policy and places it within wider governmental relations.","author":[{"dropping-particle":"","family":"Elshimi","given":"Mohammed","non-dropping-particle":"","parse-names":false,"suffix":""}],"container-title":"Critical Studies on Terrorism","id":"ITEM-1","issue":"1","issued":{"date-parts":[["2015"]]},"page":"110-129","publisher":"Routledge","title":"De-radicalisation interventions as technologies of the self: a Foucauldian analysis","type":"article-journal","volume":"8"},"locator":"111","uris":["http://www.mendeley.com/documents/?uuid=92b42ca2-962c-4b99-ac80-15283cd8bfe3"]}],"mendeley":{"formattedCitation":"(Elshimi, 2015, p. 111)","plainTextFormattedCitation":"(Elshimi, 2015, p. 111)"},"properties":{"noteIndex":0},"schema":"https://github.com/citation-style-language/schema/raw/master/csl-citation.json"}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(Elshimi, 2015, p.111)</w:t>
      </w:r>
      <w:r w:rsidRPr="00055D66">
        <w:rPr>
          <w:rFonts w:ascii="Calibri" w:eastAsia="MS Mincho" w:hAnsi="Calibri" w:cs="Calibri"/>
        </w:rPr>
        <w:fldChar w:fldCharType="end"/>
      </w:r>
      <w:r w:rsidRPr="00055D66">
        <w:rPr>
          <w:rFonts w:ascii="Calibri" w:eastAsia="MS Mincho" w:hAnsi="Calibri" w:cs="Calibri"/>
        </w:rPr>
        <w:t xml:space="preserve"> for the policy development of</w:t>
      </w:r>
      <w:r>
        <w:rPr>
          <w:rFonts w:ascii="Calibri" w:eastAsia="MS Mincho" w:hAnsi="Calibri" w:cs="Calibri"/>
        </w:rPr>
        <w:t xml:space="preserve"> such interventions and </w:t>
      </w:r>
      <w:r w:rsidRPr="00055D66">
        <w:rPr>
          <w:rFonts w:ascii="Calibri" w:eastAsia="MS Mincho" w:hAnsi="Calibri" w:cs="Calibri"/>
        </w:rPr>
        <w:t>little is known about their effectiveness</w:t>
      </w:r>
      <w:r>
        <w:rPr>
          <w:rFonts w:ascii="Calibri" w:eastAsia="MS Mincho" w:hAnsi="Calibri" w:cs="Calibri"/>
        </w:rPr>
        <w:t xml:space="preserve">: </w:t>
      </w:r>
      <w:r w:rsidRPr="00055D66">
        <w:rPr>
          <w:rFonts w:ascii="Calibri" w:eastAsia="MS Mincho" w:hAnsi="Calibri" w:cs="Calibri"/>
        </w:rPr>
        <w:t xml:space="preserve">‘﻿there are major barriers to even the most tentative of evaluations’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ISBN":"9781138281042","author":[{"dropping-particle":"","family":"Elshimi","given":"Mohammed","non-dropping-particle":"","parse-names":false,"suffix":""}],"id":"ITEM-1","issued":{"date-parts":[["2017"]]},"publisher":"Routledge","publisher-place":"New York","title":"De-radicalisation in the UK Prevent Strategy","type":"book"},"locator":"6","uris":["http://www.mendeley.com/documents/?uuid=07faa842-77a3-4a95-87b0-342da7c352ca"]}],"mendeley":{"formattedCitation":"(Elshimi, 2017, p. 6)","plainTextFormattedCitation":"(Elshimi, 2017, p. 6)","previouslyFormattedCitation":"(Elshimi, 2017, p. 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(Elshimi, 2017, p.6)</w:t>
      </w:r>
      <w:r w:rsidRPr="00055D66">
        <w:rPr>
          <w:rFonts w:ascii="Calibri" w:eastAsia="MS Mincho" w:hAnsi="Calibri" w:cs="Calibri"/>
        </w:rPr>
        <w:fldChar w:fldCharType="end"/>
      </w:r>
      <w:r w:rsidRPr="00055D66">
        <w:rPr>
          <w:rFonts w:ascii="Calibri" w:eastAsia="MS Mincho" w:hAnsi="Calibri" w:cs="Calibri"/>
        </w:rPr>
        <w:t xml:space="preserve">. </w:t>
      </w:r>
    </w:p>
    <w:p w14:paraId="750820F6" w14:textId="77777777" w:rsidR="0079774D" w:rsidRDefault="0079774D" w:rsidP="0079774D">
      <w:pPr>
        <w:spacing w:line="360" w:lineRule="auto"/>
        <w:rPr>
          <w:rFonts w:ascii="Calibri" w:eastAsia="MS Mincho" w:hAnsi="Calibri" w:cs="Calibri"/>
        </w:rPr>
      </w:pPr>
    </w:p>
    <w:p w14:paraId="53E5631E"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The Prevent strategy forms part of the</w:t>
      </w:r>
      <w:r>
        <w:rPr>
          <w:rFonts w:ascii="Calibri" w:eastAsia="MS Mincho" w:hAnsi="Calibri" w:cs="Calibri"/>
        </w:rPr>
        <w:t xml:space="preserve"> UK g</w:t>
      </w:r>
      <w:r w:rsidRPr="00055D66">
        <w:rPr>
          <w:rFonts w:ascii="Calibri" w:eastAsia="MS Mincho" w:hAnsi="Calibri" w:cs="Calibri"/>
        </w:rPr>
        <w:t xml:space="preserve">overnment’s wider counter-terrorism strategy, known as CONTEST. The aim of Prevent is to safeguard people from becoming terrorists or supporting terrorism. It ‘addresses all forms of terrorism, including when it is inspired by </w:t>
      </w:r>
      <w:r w:rsidRPr="00055D66">
        <w:rPr>
          <w:rFonts w:ascii="Calibri" w:eastAsia="MS Mincho" w:hAnsi="Calibri" w:cs="Calibri"/>
        </w:rPr>
        <w:lastRenderedPageBreak/>
        <w:t xml:space="preserve">Islamist or right wing ideologies’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{"citationItems":[{"id":"ITEM-1","itemData":{"DOI":"10.1177/1524839914543105","ISBN":"15248399","ISSN":"1524-8399","PMID":"101097431","abstract":"Objective. To assess caloric knowledge of participants and determine if\\nan e-mail and/or text message intervention could increase knowledge of\\nrecommended daily caloric intake. Design. Randomized, control trial.\\nSetting. Johns Hopkins Hospital Cobblestone Cafe. Participants. The 246\\nparticipants reported eating at the Cafe at least twice/week.\\nIntervention(s). Participants randomized to control, e-mail, or text\\ncondition. The text and e-mail conditions received a message on four\\nconsecutive Mondays stating the recommended daily caloric intake. Main\\noutcome measures. Knowledge of the government reference value of 2,000\\ncalories. Analysis. Intention-to-treat analysis was conducted.\\nMultivariate logistic regression examined the effectiveness of text and\\ne-mail messaging for improving knowledge of the government calorie\\nreference value. Results. Baseline awareness of the daily calorie\\nreference value in study population was low. Participants in the text\\nmessage condition were twice as likely to know the government calorie\\nreference value compared to controls (p = .047, odds ratio = 2.2, 95%\\nconfidence interval {[}1.01, 4.73]). No significant differences were\\nfound for the e-mail condition (p = .5). Conclusions and implications.\\nMany people do not know the daily recommended caloric intake. Public\\neducation on the government calorie reference value is necessary for\\nmenu-labeling interventions to be more effective. Weekly text messaging\\ncan serve as an effective modality for delivering calorie information\\nand nutrition education.","author":[{"dropping-particle":"","family":"Home Office","given":"","non-dropping-particle":"","parse-names":false,"suffix":""}],"id":"ITEM-1","issue":"April 2017","issued":{"date-parts":[["2017"]]},"title":"Individuals referred to and supported through the Prevent Programme, April 2016 to March 2017","type":"article-journal"},"uris":["http://www.mendeley.com/documents/?uuid=a42dacae-d4cc-4c05-b668-0b12d0abb75d"]}],"mendeley":{"formattedCitation":"(Home Office, 2017)","plainTextFormattedCitation":"(Home Office, 2017)","previouslyFormattedCitation":"(Home Office,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(Home Office, 2017)</w:t>
      </w:r>
      <w:r w:rsidRPr="00055D66">
        <w:rPr>
          <w:rFonts w:ascii="Calibri" w:eastAsia="MS Mincho" w:hAnsi="Calibri" w:cs="Calibri"/>
        </w:rPr>
        <w:fldChar w:fldCharType="end"/>
      </w:r>
      <w:r w:rsidRPr="00055D66">
        <w:rPr>
          <w:rFonts w:ascii="Calibri" w:eastAsia="MS Mincho" w:hAnsi="Calibri" w:cs="Calibri"/>
        </w:rPr>
        <w:t xml:space="preserve">. Statistics released by the Home Office highlight that the largest proportion of referrals to the program (44%) are </w:t>
      </w:r>
      <w:r>
        <w:rPr>
          <w:rFonts w:ascii="Calibri" w:eastAsia="MS Mincho" w:hAnsi="Calibri" w:cs="Calibri"/>
        </w:rPr>
        <w:t xml:space="preserve">of </w:t>
      </w:r>
      <w:r w:rsidRPr="00055D66">
        <w:rPr>
          <w:rFonts w:ascii="Calibri" w:eastAsia="MS Mincho" w:hAnsi="Calibri" w:cs="Calibri"/>
        </w:rPr>
        <w:t>those aged under 15</w:t>
      </w:r>
      <w:r>
        <w:rPr>
          <w:rFonts w:ascii="Calibri" w:eastAsia="MS Mincho" w:hAnsi="Calibri" w:cs="Calibri"/>
        </w:rPr>
        <w:t xml:space="preserve"> years</w:t>
      </w:r>
      <w:r w:rsidRPr="00055D66">
        <w:rPr>
          <w:rFonts w:ascii="Calibri" w:eastAsia="MS Mincho" w:hAnsi="Calibri" w:cs="Calibri"/>
        </w:rPr>
        <w:t xml:space="preserv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{"citationItems":[{"id":"ITEM-1","itemData":{"DOI":"10.1177/1524839914543105","ISBN":"15248399","ISSN":"1524-8399","PMID":"101097431","abstract":"Objective. To assess caloric knowledge of participants and determine if\\nan e-mail and/or text message intervention could increase knowledge of\\nrecommended daily caloric intake. Design. Randomized, control trial.\\nSetting. Johns Hopkins Hospital Cobblestone Cafe. Participants. The 246\\nparticipants reported eating at the Cafe at least twice/week.\\nIntervention(s). Participants randomized to control, e-mail, or text\\ncondition. The text and e-mail conditions received a message on four\\nconsecutive Mondays stating the recommended daily caloric intake. Main\\noutcome measures. Knowledge of the government reference value of 2,000\\ncalories. Analysis. Intention-to-treat analysis was conducted.\\nMultivariate logistic regression examined the effectiveness of text and\\ne-mail messaging for improving knowledge of the government calorie\\nreference value. Results. Baseline awareness of the daily calorie\\nreference value in study population was low. Participants in the text\\nmessage condition were twice as likely to know the government calorie\\nreference value compared to controls (p = .047, odds ratio = 2.2, 95%\\nconfidence interval {[}1.01, 4.73]). No significant differences were\\nfound for the e-mail condition (p = .5). Conclusions and implications.\\nMany people do not know the daily recommended caloric intake. Public\\neducation on the government calorie reference value is necessary for\\nmenu-labeling interventions to be more effective. Weekly text messaging\\ncan serve as an effective modality for delivering calorie information\\nand nutrition education.","author":[{"dropping-particle":"","family":"Home Office","given":"","non-dropping-particle":"","parse-names":false,"suffix":""}],"id":"ITEM-1","issue":"April 2017","issued":{"date-parts":[["2017"]]},"title":"Individuals referred to and supported through the Prevent Programme, April 2016 to March 2017","type":"article-journal"},"uris":["http://www.mendeley.com/documents/?uuid=a42dacae-d4cc-4c05-b668-0b12d0abb75d"]}],"mendeley":{"formattedCitation":"(Home Office, 2017)","plainTextFormattedCitation":"(Home Office, 2017)","previouslyFormattedCitation":"(Home Office,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(Home Office, 2017)</w:t>
      </w:r>
      <w:r w:rsidRPr="00055D66">
        <w:rPr>
          <w:rFonts w:ascii="Calibri" w:eastAsia="MS Mincho" w:hAnsi="Calibri" w:cs="Calibri"/>
        </w:rPr>
        <w:fldChar w:fldCharType="end"/>
      </w:r>
      <w:r w:rsidRPr="00055D66">
        <w:rPr>
          <w:rFonts w:ascii="Calibri" w:eastAsia="MS Mincho" w:hAnsi="Calibri" w:cs="Calibri"/>
        </w:rPr>
        <w:t xml:space="preserve">.  Counter terrorism measure such as ‘Prevent’ can construct notions of ‘suspect’ community which risk ‘further marginalizing and stigmatising Muslim communities’ (Awan 2012, p.1158). There may also be a reliance on supervision, discipline and control in order to achieve rehabilitation. </w:t>
      </w:r>
    </w:p>
    <w:p w14:paraId="22186984" w14:textId="77777777" w:rsidR="0079774D" w:rsidRPr="00055D66" w:rsidRDefault="0079774D" w:rsidP="0079774D">
      <w:pPr>
        <w:spacing w:line="360" w:lineRule="auto"/>
        <w:rPr>
          <w:rFonts w:ascii="Calibri" w:eastAsia="MS Mincho" w:hAnsi="Calibri" w:cs="Calibri"/>
        </w:rPr>
      </w:pPr>
    </w:p>
    <w:p w14:paraId="1D94AAD9" w14:textId="3626BE27"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Radicalisation in relation to violent extremism is an area of work with young men that is categorised as a safeguarding concern. It is important to acknowledge that ‘vulnerability to radicalisation’ practices that ‘claims predictive power’ (Coppock and Mcgovern 2014, p.249) may be overly concerned with controlling ‘risky’ childhoods.  This potentially also has implications for child protection procedures, with some politicians arguing that children ‘whose parents hold fundamentalist (i.e. Islamic) views’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{"citationItems":[{"id":"ITEM-1","itemData":{"DOI":"10.1093/bjsw/bcv141","ISSN":"1468263X","abstract":"The 'war on terror' signalled a new type of warfare—one that accorded with the features of what Surkov argues is non-linear war (Pomerantsev, 2014). Traditional war that takes place in a particular geographical location, with an identifiable enemy, is no more. Instead, warfare is a more fluid phenomenon. The paper argues that Surkov's concept can be usefully applied to current developments in social work practice in the UK. We trace the origins of key anti-terrorist policy developments in the UK (PREVENT and CHANNEL) from the war on terror and argue that such policies have serious implications for social work. We argue that there is an increasing securitisation approach in addressing modern social problems. We describe these as reflecting conflationary rhetorical logic, notably the linking of Troubled Families programmes with 'terror'. The paper concludes that social workers need to first recognise tactics at play in the state of non-linear war, second become critically aware of conflationary rhetorical turns in political discourse, third actively resist securitised discourses and lastly reject discriminatory notions of so-called dangerous people and communities. In other words, we should actively re-engage with and promote social work values and social justice.","author":[{"dropping-particle":"","family":"McKendrick","given":"David","non-dropping-particle":"","parse-names":false,"suffix":""},{"dropping-particle":"","family":"Finch","given":"Jo","non-dropping-particle":"","parse-names":false,"suffix":""}],"container-title":"British Journal of Social Work","id":"ITEM-1","issue":"2","issued":{"date-parts":[["2017"]]},"page":"308-324","title":"'Under heavy manners?': Social work, radicalisation, Troubled Families and non-linear war","type":"article-journal","volume":"47"},"locator":"314","uris":["http://www.mendeley.com/documents/?uuid=6fde1e65-c34e-4c1d-bc46-44a461514b8c"]}],"mendeley":{"formattedCitation":"(McKendrick and Finch, 2017, p. 314)","plainTextFormattedCitation":"(McKendrick and Finch, 2017, p. 314)","previouslyFormattedCitation":"(McKendrick and Finch, 2017, p. 314)"},"properties":{"noteIndex":0},"schema":"https://github.com/citation-style-language/schema/raw/master/csl-citation.json"}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(McKendrick and Finch, 2017, p.314)</w:t>
      </w:r>
      <w:r w:rsidRPr="088F2921">
        <w:rPr>
          <w:rFonts w:ascii="Calibri" w:eastAsia="MS Mincho" w:hAnsi="Calibri" w:cs="Calibri"/>
        </w:rPr>
        <w:fldChar w:fldCharType="end"/>
      </w:r>
      <w:r w:rsidRPr="088F2921">
        <w:rPr>
          <w:rFonts w:ascii="Calibri" w:eastAsia="MS Mincho" w:hAnsi="Calibri" w:cs="Calibri"/>
        </w:rPr>
        <w:t xml:space="preserve">, should be considered to be at risk of child abuse. Also, in the case of the brothers from Brighton and Hove, they quickly become classified as young adults rather than children when their behaviours led them into the criminal justice system.  Fear, media coverage and political concerns quickly make it challenging for professionals and the public to manage the ‘victim/perpetrator’ binary. Safeguarding whilst criminalising can be a complex and contradictory terrain to navigate. Services provided to support young men may in fact increase their feelings of marginalisation and unintentionally </w:t>
      </w:r>
      <w:r w:rsidRPr="00623834">
        <w:rPr>
          <w:rFonts w:ascii="Calibri" w:eastAsia="MS Mincho" w:hAnsi="Calibri" w:cs="Calibri"/>
        </w:rPr>
        <w:t>push them towards terrorist behaviours (</w:t>
      </w:r>
      <w:r w:rsidR="00C66173" w:rsidRPr="00623834">
        <w:rPr>
          <w:rFonts w:ascii="Calibri" w:eastAsia="MS Mincho" w:hAnsi="Calibri" w:cs="Calibri"/>
        </w:rPr>
        <w:t>ibid</w:t>
      </w:r>
      <w:r w:rsidRPr="00623834">
        <w:rPr>
          <w:rFonts w:ascii="Calibri" w:eastAsia="MS Mincho" w:hAnsi="Calibri" w:cs="Calibri"/>
        </w:rPr>
        <w:t>).</w:t>
      </w:r>
      <w:r w:rsidRPr="088F2921">
        <w:rPr>
          <w:rFonts w:ascii="Calibri" w:eastAsia="MS Mincho" w:hAnsi="Calibri" w:cs="Calibri"/>
        </w:rPr>
        <w:t xml:space="preserve">  </w:t>
      </w:r>
    </w:p>
    <w:p w14:paraId="6B6AFBA7" w14:textId="77777777" w:rsidR="0079774D" w:rsidRPr="00055D66" w:rsidRDefault="0079774D" w:rsidP="0079774D">
      <w:pPr>
        <w:spacing w:line="360" w:lineRule="auto"/>
        <w:rPr>
          <w:rFonts w:ascii="Calibri" w:eastAsia="MS Mincho" w:hAnsi="Calibri" w:cs="Calibri"/>
        </w:rPr>
      </w:pPr>
    </w:p>
    <w:p w14:paraId="0245380C" w14:textId="39F9F57A"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A review of evidence on the wellbeing of children subject to immigration control in England indicates that many migrant children experience significant shame and stigma around their immigration status </w:t>
      </w:r>
      <w:r w:rsidRPr="00252AFB">
        <w:rPr>
          <w:rFonts w:ascii="Calibri" w:eastAsia="MS Mincho" w:hAnsi="Calibri" w:cs="Calibri"/>
        </w:rPr>
        <w:t>(</w:t>
      </w:r>
      <w:r w:rsidR="00C66173" w:rsidRPr="00C66173">
        <w:rPr>
          <w:rFonts w:ascii="Calibri" w:eastAsia="MS Mincho" w:hAnsi="Calibri" w:cs="Calibri"/>
          <w:noProof/>
        </w:rPr>
        <w:t>Apland</w:t>
      </w:r>
      <w:r w:rsidR="00C66173" w:rsidRPr="088F2921">
        <w:rPr>
          <w:rFonts w:ascii="Calibri" w:eastAsia="MS Mincho" w:hAnsi="Calibri" w:cs="Calibri"/>
          <w:noProof/>
        </w:rPr>
        <w:t xml:space="preserve"> </w:t>
      </w:r>
      <w:r w:rsidR="0080697E" w:rsidRPr="0080697E">
        <w:rPr>
          <w:rFonts w:ascii="Calibri" w:eastAsia="MS Mincho" w:hAnsi="Calibri" w:cs="Calibri"/>
          <w:noProof/>
        </w:rPr>
        <w:t>et al</w:t>
      </w:r>
      <w:r w:rsidR="0080697E">
        <w:rPr>
          <w:rFonts w:ascii="Calibri" w:eastAsia="MS Mincho" w:hAnsi="Calibri" w:cs="Calibri"/>
          <w:i/>
          <w:iCs/>
          <w:noProof/>
        </w:rPr>
        <w:t>.,</w:t>
      </w:r>
      <w:r w:rsidR="0080697E">
        <w:rPr>
          <w:rFonts w:ascii="Calibri" w:eastAsia="MS Mincho" w:hAnsi="Calibri" w:cs="Calibri"/>
          <w:noProof/>
        </w:rPr>
        <w:t xml:space="preserve"> 2017</w:t>
      </w:r>
      <w:r w:rsidR="00C66173">
        <w:rPr>
          <w:rFonts w:ascii="Calibri" w:eastAsia="MS Mincho" w:hAnsi="Calibri" w:cs="Calibri"/>
          <w:noProof/>
        </w:rPr>
        <w:t>)</w:t>
      </w:r>
      <w:r w:rsidR="0080697E">
        <w:rPr>
          <w:rFonts w:ascii="Calibri" w:eastAsia="MS Mincho" w:hAnsi="Calibri" w:cs="Calibri"/>
          <w:noProof/>
        </w:rPr>
        <w:t>.</w:t>
      </w:r>
      <w:r w:rsidRPr="088F2921">
        <w:rPr>
          <w:rFonts w:ascii="Calibri" w:eastAsia="MS Mincho" w:hAnsi="Calibri" w:cs="Calibri"/>
        </w:rPr>
        <w:t xml:space="preserve"> The complexity and uncertainty of immigration and asylum systems often leave children feeling powerless about their futures, struggling to make sense of their identities. Positive experiences involve feeling emotionally and psychologically supported and forming strong relationships with caretakers and professionals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Apland","given":"Kara;","non-dropping-particle":"","parse-names":false,"suffix":""},{"dropping-particle":"","family":"Yarrow","given":"Elizabeth.;","non-dropping-particle":"","parse-names":false,"suffix":""}],"id":"ITEM-1","issue":"August","issued":{"date-parts":[["2017"]]},"title":"Children ’ s Voices","type":"report"},"uris":["http://www.mendeley.com/documents/?uuid=dd0065cd-a86a-4361-99bb-e639191b70fa","http://www.mendeley.com/documents/?uuid=07e34d9c-b0f5-49ab-b884-e558f9a06deb"]}],"mendeley":{"formattedCitation":"(Apland and Yarrow, 2017)","plainTextFormattedCitation":"(Apland and Yarrow, 2017)","previouslyFormattedCitation":"(Apland and Yarrow, 2017)"},"properties":{"noteIndex":0},"schema":"https://github.com/citation-style-language/schema/raw/master/csl-citation.json"}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(Apland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88F2921">
        <w:rPr>
          <w:rFonts w:ascii="Calibri" w:eastAsia="MS Mincho" w:hAnsi="Calibri" w:cs="Calibri"/>
          <w:noProof/>
        </w:rPr>
        <w:lastRenderedPageBreak/>
        <w:t>2017)</w:t>
      </w:r>
      <w:r w:rsidRPr="088F2921">
        <w:rPr>
          <w:rFonts w:ascii="Calibri" w:eastAsia="MS Mincho" w:hAnsi="Calibri" w:cs="Calibri"/>
        </w:rPr>
        <w:fldChar w:fldCharType="end"/>
      </w:r>
      <w:r w:rsidRPr="088F2921">
        <w:rPr>
          <w:rFonts w:ascii="Calibri" w:eastAsia="MS Mincho" w:hAnsi="Calibri" w:cs="Calibri"/>
        </w:rPr>
        <w:t xml:space="preserve">. A finding from the SCR into death of the two brothers from Brighton and Hove is </w:t>
      </w:r>
      <w:r w:rsidR="75FB3940" w:rsidRPr="088F2921">
        <w:rPr>
          <w:rFonts w:ascii="Calibri" w:eastAsia="MS Mincho" w:hAnsi="Calibri" w:cs="Calibri"/>
        </w:rPr>
        <w:t>the</w:t>
      </w:r>
      <w:r w:rsidRPr="088F2921">
        <w:rPr>
          <w:rFonts w:ascii="Calibri" w:eastAsia="MS Mincho" w:hAnsi="Calibri" w:cs="Calibri"/>
        </w:rPr>
        <w:t xml:space="preserve"> need for to professionals to acquire greater understanding of, and curiosity about, ‘the role of culture, identity, gender, religion, beliefs and potential divided loyalties experienced by some children and families’ (</w:t>
      </w:r>
      <w:r w:rsidR="0080697E">
        <w:rPr>
          <w:rFonts w:ascii="Calibri" w:eastAsia="MS Mincho" w:hAnsi="Calibri" w:cs="Calibri"/>
        </w:rPr>
        <w:t>Carmi and Gianfresco</w:t>
      </w:r>
      <w:r w:rsidRPr="088F2921">
        <w:rPr>
          <w:rFonts w:ascii="Calibri" w:eastAsia="MS Mincho" w:hAnsi="Calibri" w:cs="Calibri"/>
        </w:rPr>
        <w:t xml:space="preserve">, </w:t>
      </w:r>
      <w:r w:rsidR="0080697E">
        <w:rPr>
          <w:rFonts w:ascii="Calibri" w:eastAsia="MS Mincho" w:hAnsi="Calibri" w:cs="Calibri"/>
        </w:rPr>
        <w:t xml:space="preserve">2017, </w:t>
      </w:r>
      <w:r w:rsidRPr="088F2921">
        <w:rPr>
          <w:rFonts w:ascii="Calibri" w:eastAsia="MS Mincho" w:hAnsi="Calibri" w:cs="Calibri"/>
        </w:rPr>
        <w:t xml:space="preserve">p.16). </w:t>
      </w:r>
    </w:p>
    <w:p w14:paraId="57FAD1A5" w14:textId="77777777" w:rsidR="00B07248" w:rsidRPr="00055D66" w:rsidRDefault="00B07248" w:rsidP="0079774D">
      <w:pPr>
        <w:spacing w:line="360" w:lineRule="auto"/>
        <w:rPr>
          <w:rFonts w:ascii="Calibri" w:eastAsia="MS Mincho" w:hAnsi="Calibri" w:cs="Calibri"/>
        </w:rPr>
      </w:pPr>
    </w:p>
    <w:p w14:paraId="414C7ACC" w14:textId="3F61A5BF" w:rsidR="0079774D" w:rsidRPr="00055D66" w:rsidRDefault="00B07248" w:rsidP="0079774D">
      <w:pPr>
        <w:spacing w:line="360" w:lineRule="auto"/>
        <w:rPr>
          <w:rFonts w:ascii="Calibri" w:eastAsia="MS Mincho" w:hAnsi="Calibri" w:cs="Calibri"/>
        </w:rPr>
      </w:pPr>
      <w:r w:rsidRPr="260A14CD">
        <w:rPr>
          <w:rFonts w:asciiTheme="majorHAnsi" w:hAnsiTheme="majorHAnsi" w:cstheme="majorBidi"/>
        </w:rPr>
        <w:t xml:space="preserve">Threats posed ‘by the far right and extreme right wing’ (gov.uk, 2019), according to figures released by the Home Office, have increased in recent years, with males representing 93% of those referred for concerns related to right wing extremism, and ﻿78% for ﻿Islamist extremism. </w:t>
      </w:r>
      <w:r w:rsidR="0079774D" w:rsidRPr="260A14CD">
        <w:rPr>
          <w:rFonts w:ascii="Calibri" w:eastAsia="MS Mincho" w:hAnsi="Calibri" w:cs="Calibri"/>
        </w:rPr>
        <w:t xml:space="preserve">In 2016/17 there were 272 under-15s and 328 young people aged 15 to 20 referred to the Prevent scheme over suspected right-wing terrorist beliefs (gov.uk, 2019). The evolution of far-right extremist ideology in the UK, as in other European countries, is becoming a major issue </w:t>
      </w:r>
      <w:r w:rsidR="0079774D" w:rsidRPr="260A14CD">
        <w:rPr>
          <w:rFonts w:ascii="Calibri" w:eastAsia="MS Mincho" w:hAnsi="Calibri" w:cs="Calibri"/>
        </w:rPr>
        <w:fldChar w:fldCharType="begin" w:fldLock="1"/>
      </w:r>
      <w:r w:rsidR="0079774D" w:rsidRPr="260A14CD">
        <w:rPr>
          <w:rFonts w:ascii="Calibri" w:eastAsia="MS Mincho" w:hAnsi="Calibri" w:cs="Calibri"/>
        </w:rPr>
        <w:instrText>ADDIN CSL_CITATION {"citationItems":[{"id":"ITEM-1","itemData":{"ISSN":"2363-9849","abstract":"De-radicalisation policy carries with it an inherent tension: those who provide the most invaluable support in drawing people away from violent extremist groups generally come from the demographic or community that is under suspicion. This is true even when the extremist ideology is simple for governments and state agencies to understand – such as certain political or nationalist demands – due to the credibility and reach held by members of community. Yet when government lacks not only trust and moral authority with a target demographic, but a theological and cultural knowledge which is central to understanding the nature of the extremist threat (as with violent Islamist extremism), partnering with civil society actors from the community takes on a vital importance. Partnering with community members has therefore been a central and indispensable part of the UK’s Prevent strategy, but how to do so has at times been a disputed, chronically under-researched, ideologically driven political quagmire.The Lokahi Foundation is currently conducting a long research project, funded by the European Community, to assess the lessons that can be identified from the United Kingdom’s responses to extremism and ‘radicalization’. In this brief report we set out the historical context in which we undertake this work, and the implicit ‘strategic philosophy’, of the United Kingdom’s approach since the London attacks of July 2007.","author":[{"dropping-particle":"","family":"Griffith-Dickson","given":"Gwen","non-dropping-particle":"","parse-names":false,"suffix":""},{"dropping-particle":"","family":"Dickson","given":"Andrew","non-dropping-particle":"","parse-names":false,"suffix":""},{"dropping-particle":"","family":"Robert","given":"Ivermee","non-dropping-particle":"","parse-names":false,"suffix":""}],"container-title":"Journal for Deradicalization","id":"ITEM-1","issue":"1","issued":{"date-parts":[["2014"]]},"page":"26-37","title":"Counter-extremism and De-radicalisation in the UK: a Contemporary Overview","type":"article-journal","volume":"0"},"uris":["http://www.mendeley.com/documents/?uuid=8d332e13-c40b-44ec-9686-7a1bb539336c"]}],"mendeley":{"formattedCitation":"(Griffith-Dickson, Dickson and Robert, 2014)","plainTextFormattedCitation":"(Griffith-Dickson, Dickson and Robert, 2014)","previouslyFormattedCitation":"(Griffith-Dickson, Dickson and Robert, 2014)"},"properties":{"noteIndex":0},"schema":"https://github.com/citation-style-language/schema/raw/master/csl-citation.json"}</w:instrText>
      </w:r>
      <w:r w:rsidR="0079774D" w:rsidRPr="260A14CD">
        <w:rPr>
          <w:rFonts w:ascii="Calibri" w:eastAsia="MS Mincho" w:hAnsi="Calibri" w:cs="Calibri"/>
        </w:rPr>
        <w:fldChar w:fldCharType="separate"/>
      </w:r>
      <w:r w:rsidR="0079774D" w:rsidRPr="260A14CD">
        <w:rPr>
          <w:rFonts w:ascii="Calibri" w:eastAsia="MS Mincho" w:hAnsi="Calibri" w:cs="Calibri"/>
          <w:noProof/>
        </w:rPr>
        <w:t xml:space="preserve">(Griffith-Dickson, Dickson and </w:t>
      </w:r>
      <w:r w:rsidR="00FA5A97">
        <w:rPr>
          <w:rFonts w:ascii="Calibri" w:eastAsia="MS Mincho" w:hAnsi="Calibri" w:cs="Calibri"/>
          <w:noProof/>
        </w:rPr>
        <w:t>Ivermee</w:t>
      </w:r>
      <w:r w:rsidR="0079774D" w:rsidRPr="260A14CD">
        <w:rPr>
          <w:rFonts w:ascii="Calibri" w:eastAsia="MS Mincho" w:hAnsi="Calibri" w:cs="Calibri"/>
          <w:noProof/>
        </w:rPr>
        <w:t>, 2014)</w:t>
      </w:r>
      <w:r w:rsidR="0079774D" w:rsidRPr="260A14CD">
        <w:rPr>
          <w:rFonts w:ascii="Calibri" w:eastAsia="MS Mincho" w:hAnsi="Calibri" w:cs="Calibri"/>
        </w:rPr>
        <w:fldChar w:fldCharType="end"/>
      </w:r>
      <w:r w:rsidR="0079774D" w:rsidRPr="260A14CD">
        <w:rPr>
          <w:rFonts w:ascii="Calibri" w:eastAsia="MS Mincho" w:hAnsi="Calibri" w:cs="Calibri"/>
        </w:rPr>
        <w:t xml:space="preserve">. Groups such as the English Defence League and British National Party have ‘focussed with ever-deepening intensity on pushing an anti-Islam or anti-Muslim message’ </w:t>
      </w:r>
      <w:r w:rsidR="0079774D" w:rsidRPr="260A14CD">
        <w:rPr>
          <w:rFonts w:ascii="Calibri" w:eastAsia="MS Mincho" w:hAnsi="Calibri" w:cs="Calibri"/>
        </w:rPr>
        <w:fldChar w:fldCharType="begin" w:fldLock="1"/>
      </w:r>
      <w:r w:rsidR="0079774D" w:rsidRPr="260A14CD">
        <w:rPr>
          <w:rFonts w:ascii="Calibri" w:eastAsia="MS Mincho" w:hAnsi="Calibri" w:cs="Calibri"/>
        </w:rPr>
        <w:instrText>ADDIN CSL_CITATION {"citationItems":[{"id":"ITEM-1","itemData":{"ISSN":"2363-9849","abstract":"De-radicalisation policy carries with it an inherent tension: those who provide the most invaluable support in drawing people away from violent extremist groups generally come from the demographic or community that is under suspicion. This is true even when the extremist ideology is simple for governments and state agencies to understand – such as certain political or nationalist demands – due to the credibility and reach held by members of community. Yet when government lacks not only trust and moral authority with a target demographic, but a theological and cultural knowledge which is central to understanding the nature of the extremist threat (as with violent Islamist extremism), partnering with civil society actors from the community takes on a vital importance. Partnering with community members has therefore been a central and indispensable part of the UK’s Prevent strategy, but how to do so has at times been a disputed, chronically under-researched, ideologically driven political quagmire.The Lokahi Foundation is currently conducting a long research project, funded by the European Community, to assess the lessons that can be identified from the United Kingdom’s responses to extremism and ‘radicalization’. In this brief report we set out the historical context in which we undertake this work, and the implicit ‘strategic philosophy’, of the United Kingdom’s approach since the London attacks of July 2007.","author":[{"dropping-particle":"","family":"Griffith-Dickson","given":"Gwen","non-dropping-particle":"","parse-names":false,"suffix":""},{"dropping-particle":"","family":"Dickson","given":"Andrew","non-dropping-particle":"","parse-names":false,"suffix":""},{"dropping-particle":"","family":"Robert","given":"Ivermee","non-dropping-particle":"","parse-names":false,"suffix":""}],"container-title":"Journal for Deradicalization","id":"ITEM-1","issue":"1","issued":{"date-parts":[["2014"]]},"page":"26-37","title":"Counter-extremism and De-radicalisation in the UK: a Contemporary Overview","type":"article-journal","volume":"0"},"locator":"34","uris":["http://www.mendeley.com/documents/?uuid=8d332e13-c40b-44ec-9686-7a1bb539336c"]}],"mendeley":{"formattedCitation":"(Griffith-Dickson, Dickson and Robert, 2014, p. 34)","plainTextFormattedCitation":"(Griffith-Dickson, Dickson and Robert, 2014, p. 34)","previouslyFormattedCitation":"(Griffith-Dickson, Dickson and Robert, 2014, p. 34)"},"properties":{"noteIndex":0},"schema":"https://github.com/citation-style-language/schema/raw/master/csl-citation.json"}</w:instrText>
      </w:r>
      <w:r w:rsidR="0079774D" w:rsidRPr="260A14CD">
        <w:rPr>
          <w:rFonts w:ascii="Calibri" w:eastAsia="MS Mincho" w:hAnsi="Calibri" w:cs="Calibri"/>
        </w:rPr>
        <w:fldChar w:fldCharType="separate"/>
      </w:r>
      <w:r w:rsidR="0079774D" w:rsidRPr="260A14CD">
        <w:rPr>
          <w:rFonts w:ascii="Calibri" w:eastAsia="MS Mincho" w:hAnsi="Calibri" w:cs="Calibri"/>
          <w:noProof/>
        </w:rPr>
        <w:t xml:space="preserve">(Griffith-Dickson, Dickson and </w:t>
      </w:r>
      <w:r w:rsidR="00FA5A97">
        <w:rPr>
          <w:rFonts w:ascii="Calibri" w:eastAsia="MS Mincho" w:hAnsi="Calibri" w:cs="Calibri"/>
          <w:noProof/>
        </w:rPr>
        <w:t>Ivermee</w:t>
      </w:r>
      <w:r w:rsidR="0079774D" w:rsidRPr="260A14CD">
        <w:rPr>
          <w:rFonts w:ascii="Calibri" w:eastAsia="MS Mincho" w:hAnsi="Calibri" w:cs="Calibri"/>
          <w:noProof/>
        </w:rPr>
        <w:t>, 2014, p.34)</w:t>
      </w:r>
      <w:r w:rsidR="0079774D" w:rsidRPr="260A14CD">
        <w:rPr>
          <w:rFonts w:ascii="Calibri" w:eastAsia="MS Mincho" w:hAnsi="Calibri" w:cs="Calibri"/>
        </w:rPr>
        <w:fldChar w:fldCharType="end"/>
      </w:r>
      <w:r w:rsidR="0079774D" w:rsidRPr="260A14CD">
        <w:rPr>
          <w:rFonts w:ascii="Calibri" w:eastAsia="MS Mincho" w:hAnsi="Calibri" w:cs="Calibri"/>
        </w:rPr>
        <w:t xml:space="preserve">. This leads to ‘a symbiotic, cyclical relationship between two extremes’ </w:t>
      </w:r>
      <w:r w:rsidR="0079774D" w:rsidRPr="260A14CD">
        <w:rPr>
          <w:rFonts w:ascii="Calibri" w:eastAsia="MS Mincho" w:hAnsi="Calibri" w:cs="Calibri"/>
        </w:rPr>
        <w:fldChar w:fldCharType="begin" w:fldLock="1"/>
      </w:r>
      <w:r w:rsidR="0079774D" w:rsidRPr="260A14CD">
        <w:rPr>
          <w:rFonts w:ascii="Calibri" w:eastAsia="MS Mincho" w:hAnsi="Calibri" w:cs="Calibri"/>
        </w:rPr>
        <w:instrText>ADDIN CSL_CITATION {"citationItems":[{"id":"ITEM-1","itemData":{"ISSN":"2363-9849","abstract":"De-radicalisation policy carries with it an inherent tension: those who provide the most invaluable support in drawing people away from violent extremist groups generally come from the demographic or community that is under suspicion. This is true even when the extremist ideology is simple for governments and state agencies to understand – such as certain political or nationalist demands – due to the credibility and reach held by members of community. Yet when government lacks not only trust and moral authority with a target demographic, but a theological and cultural knowledge which is central to understanding the nature of the extremist threat (as with violent Islamist extremism), partnering with civil society actors from the community takes on a vital importance. Partnering with community members has therefore been a central and indispensable part of the UK’s Prevent strategy, but how to do so has at times been a disputed, chronically under-researched, ideologically driven political quagmire.The Lokahi Foundation is currently conducting a long research project, funded by the European Community, to assess the lessons that can be identified from the United Kingdom’s responses to extremism and ‘radicalization’. In this brief report we set out the historical context in which we undertake this work, and the implicit ‘strategic philosophy’, of the United Kingdom’s approach since the London attacks of July 2007.","author":[{"dropping-particle":"","family":"Griffith-Dickson","given":"Gwen","non-dropping-particle":"","parse-names":false,"suffix":""},{"dropping-particle":"","family":"Dickson","given":"Andrew","non-dropping-particle":"","parse-names":false,"suffix":""},{"dropping-particle":"","family":"Robert","given":"Ivermee","non-dropping-particle":"","parse-names":false,"suffix":""}],"container-title":"Journal for Deradicalization","id":"ITEM-1","issue":"1","issued":{"date-parts":[["2014"]]},"page":"26-37","title":"Counter-extremism and De-radicalisation in the UK: a Contemporary Overview","type":"article-journal","volume":"0"},"locator":"34","uris":["http://www.mendeley.com/documents/?uuid=8d332e13-c40b-44ec-9686-7a1bb539336c"]}],"mendeley":{"formattedCitation":"(Griffith-Dickson, Dickson and Robert, 2014, p. 34)","plainTextFormattedCitation":"(Griffith-Dickson, Dickson and Robert, 2014, p. 34)","previouslyFormattedCitation":"(Griffith-Dickson, Dickson and Robert, 2014, p. 34)"},"properties":{"noteIndex":0},"schema":"https://github.com/citation-style-language/schema/raw/master/csl-citation.json"}</w:instrText>
      </w:r>
      <w:r w:rsidR="0079774D" w:rsidRPr="260A14CD">
        <w:rPr>
          <w:rFonts w:ascii="Calibri" w:eastAsia="MS Mincho" w:hAnsi="Calibri" w:cs="Calibri"/>
        </w:rPr>
        <w:fldChar w:fldCharType="separate"/>
      </w:r>
      <w:r w:rsidR="0079774D" w:rsidRPr="260A14CD">
        <w:rPr>
          <w:rFonts w:ascii="Calibri" w:eastAsia="MS Mincho" w:hAnsi="Calibri" w:cs="Calibri"/>
          <w:noProof/>
        </w:rPr>
        <w:t>(Griffith-Dickson, Dickson and Robert, 2014, p. 34)</w:t>
      </w:r>
      <w:r w:rsidR="0079774D" w:rsidRPr="260A14CD">
        <w:rPr>
          <w:rFonts w:ascii="Calibri" w:eastAsia="MS Mincho" w:hAnsi="Calibri" w:cs="Calibri"/>
        </w:rPr>
        <w:fldChar w:fldCharType="end"/>
      </w:r>
      <w:r w:rsidR="0079774D" w:rsidRPr="260A14CD">
        <w:rPr>
          <w:rFonts w:ascii="Calibri" w:eastAsia="MS Mincho" w:hAnsi="Calibri" w:cs="Calibri"/>
        </w:rPr>
        <w:t xml:space="preserve"> with an increase of violent Islamist extremism generating greater support for violent far-right extremism and vice versa. European literature relating to the growing interest of young men in politically far right activities observes that a stance expressed in far right narratives of Swedish young men tends to focus on ‘the homeland of betrayed people’ </w:t>
      </w:r>
      <w:r w:rsidR="0079774D" w:rsidRPr="260A14CD">
        <w:rPr>
          <w:rFonts w:ascii="Calibri" w:eastAsia="MS Mincho" w:hAnsi="Calibri" w:cs="Calibri"/>
        </w:rPr>
        <w:fldChar w:fldCharType="begin" w:fldLock="1"/>
      </w:r>
      <w:r w:rsidR="0079774D" w:rsidRPr="260A14CD">
        <w:rPr>
          <w:rFonts w:ascii="Calibri" w:eastAsia="MS Mincho" w:hAnsi="Calibri" w:cs="Calibri"/>
        </w:rPr>
        <w:instrText>ADDIN CSL_CITATION {"citationItems":[{"id":"ITEM-1","itemData":{"DOI":"10.1080/14782804.2015.1056115","ISSN":"14782790","abstract":"In this article I analyze how far right movements and parties in Europe are challenging European notions of open borders and the freedom of movement through active involvement in national and European politics. This involves a discussion around the de/rebordering of European space and the relationship between bordering processes and a politics of belonging in which the drawing of boundaries becomes a way of establishing inclusion/exclusion in response to a politics of fear, insecurity, and threat. Thereafter I address what distinguishes such a politics and how various far right movements and parties have emerged as structural and social–psychological responses to it as well as the reasons behind their affective (and electoral) success in Europe. In examining this, I stress the idea of ‘subjective deprivation’ in relation to the bordering of essentialist identities, highlighting the role of ‘emotional governance’ and ‘nativism’ as crucial for understanding the appeal of these movements. Finally I discuss h...","author":[{"dropping-particle":"","family":"Kinnvall","given":"Catarina","non-dropping-particle":"","parse-names":false,"suffix":""}],"container-title":"Journal of Contemporary European Studies","id":"ITEM-1","issue":"4","issued":{"date-parts":[["2015"]]},"page":"514-529","publisher":"Routledge","title":"Borders and Fear: Insecurity, Gender and the Far Right in Europe","type":"article-journal","volume":"23"},"locator":"522","uris":["http://www.mendeley.com/documents/?uuid=07116262-f52b-42f5-bfbd-aa79dc371bc9"]}],"mendeley":{"formattedCitation":"(Kinnvall, 2015, p. 522)","plainTextFormattedCitation":"(Kinnvall, 2015, p. 522)","previouslyFormattedCitation":"(Kinnvall, 2015, p. 522)"},"properties":{"noteIndex":0},"schema":"https://github.com/citation-style-language/schema/raw/master/csl-citation.json"}</w:instrText>
      </w:r>
      <w:r w:rsidR="0079774D" w:rsidRPr="260A14CD">
        <w:rPr>
          <w:rFonts w:ascii="Calibri" w:eastAsia="MS Mincho" w:hAnsi="Calibri" w:cs="Calibri"/>
        </w:rPr>
        <w:fldChar w:fldCharType="separate"/>
      </w:r>
      <w:r w:rsidR="0079774D" w:rsidRPr="260A14CD">
        <w:rPr>
          <w:rFonts w:ascii="Calibri" w:eastAsia="MS Mincho" w:hAnsi="Calibri" w:cs="Calibri"/>
          <w:noProof/>
        </w:rPr>
        <w:t>(Kinnvall, 2015, p.522)</w:t>
      </w:r>
      <w:r w:rsidR="0079774D" w:rsidRPr="260A14CD">
        <w:rPr>
          <w:rFonts w:ascii="Calibri" w:eastAsia="MS Mincho" w:hAnsi="Calibri" w:cs="Calibri"/>
        </w:rPr>
        <w:fldChar w:fldCharType="end"/>
      </w:r>
      <w:r w:rsidR="0079774D" w:rsidRPr="260A14CD">
        <w:rPr>
          <w:rFonts w:ascii="Calibri" w:eastAsia="MS Mincho" w:hAnsi="Calibri" w:cs="Calibri"/>
        </w:rPr>
        <w:t xml:space="preserve">  with established political parties have ‘sold out’ the homeland and/or the welfare state for multiculturalism. ‘Longing for home, or homesteading practices, thus becomes a social- psychological response to ontological insecurity among many (predominantly) young European men’ </w:t>
      </w:r>
      <w:r w:rsidR="0079774D" w:rsidRPr="260A14CD">
        <w:rPr>
          <w:rFonts w:ascii="Calibri" w:eastAsia="MS Mincho" w:hAnsi="Calibri" w:cs="Calibri"/>
        </w:rPr>
        <w:fldChar w:fldCharType="begin" w:fldLock="1"/>
      </w:r>
      <w:r w:rsidR="0079774D" w:rsidRPr="260A14CD">
        <w:rPr>
          <w:rFonts w:ascii="Calibri" w:eastAsia="MS Mincho" w:hAnsi="Calibri" w:cs="Calibri"/>
        </w:rPr>
        <w:instrText>ADDIN CSL_CITATION {"citationItems":[{"id":"ITEM-1","itemData":{"DOI":"10.1080/14782804.2015.1056115","ISSN":"14782790","abstract":"In this article I analyze how far right movements and parties in Europe are challenging European notions of open borders and the freedom of movement through active involvement in national and European politics. This involves a discussion around the de/rebordering of European space and the relationship between bordering processes and a politics of belonging in which the drawing of boundaries becomes a way of establishing inclusion/exclusion in response to a politics of fear, insecurity, and threat. Thereafter I address what distinguishes such a politics and how various far right movements and parties have emerged as structural and social–psychological responses to it as well as the reasons behind their affective (and electoral) success in Europe. In examining this, I stress the idea of ‘subjective deprivation’ in relation to the bordering of essentialist identities, highlighting the role of ‘emotional governance’ and ‘nativism’ as crucial for understanding the appeal of these movements. Finally I discuss h...","author":[{"dropping-particle":"","family":"Kinnvall","given":"Catarina","non-dropping-particle":"","parse-names":false,"suffix":""}],"container-title":"Journal of Contemporary European Studies","id":"ITEM-1","issue":"4","issued":{"date-parts":[["2015"]]},"page":"514-529","publisher":"Routledge","title":"Borders and Fear: Insecurity, Gender and the Far Right in Europe","type":"article-journal","volume":"23"},"locator":"522","uris":["http://www.mendeley.com/documents/?uuid=07116262-f52b-42f5-bfbd-aa79dc371bc9"]}],"mendeley":{"formattedCitation":"(Kinnvall, 2015, p. 522)","plainTextFormattedCitation":"(Kinnvall, 2015, p. 522)","previouslyFormattedCitation":"(Kinnvall, 2015, p. 522)"},"properties":{"noteIndex":0},"schema":"https://github.com/citation-style-language/schema/raw/master/csl-citation.json"}</w:instrText>
      </w:r>
      <w:r w:rsidR="0079774D" w:rsidRPr="260A14CD">
        <w:rPr>
          <w:rFonts w:ascii="Calibri" w:eastAsia="MS Mincho" w:hAnsi="Calibri" w:cs="Calibri"/>
        </w:rPr>
        <w:fldChar w:fldCharType="separate"/>
      </w:r>
      <w:r w:rsidR="0079774D" w:rsidRPr="260A14CD">
        <w:rPr>
          <w:rFonts w:ascii="Calibri" w:eastAsia="MS Mincho" w:hAnsi="Calibri" w:cs="Calibri"/>
          <w:noProof/>
        </w:rPr>
        <w:t>(Kinnvall, 2015, p.522)</w:t>
      </w:r>
      <w:r w:rsidR="0079774D" w:rsidRPr="260A14CD">
        <w:rPr>
          <w:rFonts w:ascii="Calibri" w:eastAsia="MS Mincho" w:hAnsi="Calibri" w:cs="Calibri"/>
        </w:rPr>
        <w:fldChar w:fldCharType="end"/>
      </w:r>
      <w:r w:rsidR="0079774D" w:rsidRPr="260A14CD">
        <w:rPr>
          <w:rFonts w:ascii="Calibri" w:eastAsia="MS Mincho" w:hAnsi="Calibri" w:cs="Calibri"/>
        </w:rPr>
        <w:t xml:space="preserve">. </w:t>
      </w:r>
    </w:p>
    <w:p w14:paraId="2E0FADD7" w14:textId="77777777" w:rsidR="0079774D" w:rsidRDefault="0079774D" w:rsidP="0079774D">
      <w:pPr>
        <w:spacing w:line="360" w:lineRule="auto"/>
        <w:rPr>
          <w:rFonts w:ascii="Calibri" w:eastAsia="MS Mincho" w:hAnsi="Calibri" w:cs="Calibri"/>
        </w:rPr>
      </w:pPr>
    </w:p>
    <w:p w14:paraId="63534789" w14:textId="77777777" w:rsidR="00301C85" w:rsidRDefault="00301C85">
      <w:pPr>
        <w:rPr>
          <w:rFonts w:ascii="Calibri" w:eastAsia="MS Mincho" w:hAnsi="Calibri" w:cs="Calibri"/>
          <w:b/>
          <w:bCs/>
        </w:rPr>
      </w:pPr>
      <w:r>
        <w:rPr>
          <w:rFonts w:ascii="Calibri" w:eastAsia="MS Mincho" w:hAnsi="Calibri" w:cs="Calibri"/>
          <w:b/>
          <w:bCs/>
        </w:rPr>
        <w:br w:type="page"/>
      </w:r>
    </w:p>
    <w:p w14:paraId="2A8CE0C2" w14:textId="5A9D65B2" w:rsidR="0079774D" w:rsidRDefault="0079774D" w:rsidP="0079774D">
      <w:pPr>
        <w:spacing w:line="360" w:lineRule="auto"/>
        <w:rPr>
          <w:rFonts w:ascii="Calibri" w:eastAsia="MS Mincho" w:hAnsi="Calibri" w:cs="Calibri"/>
          <w:b/>
          <w:bCs/>
        </w:rPr>
      </w:pPr>
      <w:r>
        <w:rPr>
          <w:rFonts w:ascii="Calibri" w:eastAsia="MS Mincho" w:hAnsi="Calibri" w:cs="Calibri"/>
          <w:b/>
          <w:bCs/>
        </w:rPr>
        <w:lastRenderedPageBreak/>
        <w:t>2.3 A</w:t>
      </w:r>
      <w:r w:rsidRPr="008A1439">
        <w:rPr>
          <w:rFonts w:ascii="Calibri" w:eastAsia="MS Mincho" w:hAnsi="Calibri" w:cs="Calibri"/>
          <w:b/>
          <w:bCs/>
        </w:rPr>
        <w:t>pproaches</w:t>
      </w:r>
      <w:r w:rsidR="00114D69">
        <w:rPr>
          <w:rFonts w:ascii="Calibri" w:eastAsia="MS Mincho" w:hAnsi="Calibri" w:cs="Calibri"/>
          <w:b/>
          <w:bCs/>
        </w:rPr>
        <w:t>, models</w:t>
      </w:r>
      <w:r w:rsidRPr="008A1439">
        <w:rPr>
          <w:rFonts w:ascii="Calibri" w:eastAsia="MS Mincho" w:hAnsi="Calibri" w:cs="Calibri"/>
          <w:b/>
          <w:bCs/>
        </w:rPr>
        <w:t xml:space="preserve"> and service interventions with young</w:t>
      </w:r>
      <w:r w:rsidR="00DD7175">
        <w:rPr>
          <w:rFonts w:ascii="Calibri" w:eastAsia="MS Mincho" w:hAnsi="Calibri" w:cs="Calibri"/>
          <w:b/>
          <w:bCs/>
        </w:rPr>
        <w:t xml:space="preserve"> men</w:t>
      </w:r>
    </w:p>
    <w:p w14:paraId="78CCAAFD" w14:textId="77777777" w:rsidR="00724275" w:rsidRDefault="00724275" w:rsidP="0079774D">
      <w:pPr>
        <w:spacing w:line="360" w:lineRule="auto"/>
        <w:rPr>
          <w:rFonts w:ascii="Calibri" w:eastAsia="MS Mincho" w:hAnsi="Calibri" w:cs="Calibri"/>
          <w:b/>
          <w:bCs/>
        </w:rPr>
      </w:pPr>
    </w:p>
    <w:p w14:paraId="7997292C" w14:textId="77777777" w:rsidR="0079774D" w:rsidRPr="008A1439" w:rsidRDefault="0079774D" w:rsidP="0079774D">
      <w:pPr>
        <w:spacing w:line="360" w:lineRule="auto"/>
        <w:rPr>
          <w:rFonts w:ascii="Calibri" w:eastAsia="MS Mincho" w:hAnsi="Calibri" w:cs="Calibri"/>
          <w:i/>
          <w:iCs/>
        </w:rPr>
      </w:pPr>
      <w:r w:rsidRPr="008A1439">
        <w:rPr>
          <w:rFonts w:ascii="Calibri" w:eastAsia="MS Mincho" w:hAnsi="Calibri" w:cs="Calibri"/>
          <w:i/>
          <w:iCs/>
        </w:rPr>
        <w:t>2.3.1 Contextualising interventions</w:t>
      </w:r>
    </w:p>
    <w:p w14:paraId="37136DC1" w14:textId="6998DA59"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An evidence-based approach that relies on empirical research and produce measurable outcomes may be regarded central to effective interventions</w:t>
      </w:r>
      <w:r>
        <w:rPr>
          <w:rFonts w:ascii="Calibri" w:eastAsia="MS Mincho" w:hAnsi="Calibri" w:cs="Calibri"/>
        </w:rPr>
        <w:t xml:space="preserve"> and a</w:t>
      </w:r>
      <w:r w:rsidRPr="00055D66">
        <w:rPr>
          <w:rFonts w:ascii="Calibri" w:eastAsia="MS Mincho" w:hAnsi="Calibri" w:cs="Calibri"/>
        </w:rPr>
        <w:t xml:space="preserve"> focus on the ‘professional experience or anecdotal successes’ (Baldwin and Zeira 2017, p.1) of service providers should be regarded with caution. In order for education policy and practice to be effective it</w:t>
      </w:r>
      <w:r>
        <w:rPr>
          <w:rFonts w:ascii="Calibri" w:eastAsia="MS Mincho" w:hAnsi="Calibri" w:cs="Calibri"/>
        </w:rPr>
        <w:t xml:space="preserve"> should therefore </w:t>
      </w:r>
      <w:r w:rsidRPr="00055D66">
        <w:rPr>
          <w:rFonts w:ascii="Calibri" w:eastAsia="MS Mincho" w:hAnsi="Calibri" w:cs="Calibri"/>
        </w:rPr>
        <w:t xml:space="preserve"> ‘be more directly informed by the reality of young men’s lives and experiences’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Harland","given":"Ken","non-dropping-particle":"","parse-names":false,"suffix":""},{"dropping-particle":"","family":"McCreedy","given":"Sam","non-dropping-particle":"","parse-names":false,"suffix":""}],"id":"ITEM-1","issued":{"date-parts":[["2015"]]},"publisher":"Palgrave Macmillan Limited","title":"Boys, Young Men and Violence : Masculinities, Education and Practice","type":"book"},"locator":"189","uris":["http://www.mendeley.com/documents/?uuid=3b5f5b00-1a7f-4742-8387-99498813eb2b"]}],"mendeley":{"formattedCitation":"(Ken Harland and McCreedy, 2015, p. 189)","plainTextFormattedCitation":"(Ken Harland and McCreedy, 2015, p. 189)","previouslyFormattedCitation":"(Ken Harland and McCreedy, 2015, p. 189)"},"properties":{"noteIndex":0},"schema":"https://github.com/citation-style-language/schema/raw/master/csl-citation.json"}</w:instrText>
      </w:r>
      <w:r w:rsidRPr="00055D66">
        <w:rPr>
          <w:rFonts w:ascii="Calibri" w:eastAsia="MS Mincho" w:hAnsi="Calibri" w:cs="Calibri"/>
        </w:rPr>
        <w:fldChar w:fldCharType="separate"/>
      </w:r>
      <w:r w:rsidR="0080697E">
        <w:rPr>
          <w:rFonts w:ascii="Calibri" w:eastAsia="MS Mincho" w:hAnsi="Calibri" w:cs="Calibri"/>
          <w:noProof/>
        </w:rPr>
        <w:t>(</w:t>
      </w:r>
      <w:r w:rsidRPr="00055D66">
        <w:rPr>
          <w:rFonts w:ascii="Calibri" w:eastAsia="MS Mincho" w:hAnsi="Calibri" w:cs="Calibri"/>
          <w:noProof/>
        </w:rPr>
        <w:t>Harland and McCre</w:t>
      </w:r>
      <w:r w:rsidR="0080697E">
        <w:rPr>
          <w:rFonts w:ascii="Calibri" w:eastAsia="MS Mincho" w:hAnsi="Calibri" w:cs="Calibri"/>
          <w:noProof/>
        </w:rPr>
        <w:t>a</w:t>
      </w:r>
      <w:r w:rsidRPr="00055D66">
        <w:rPr>
          <w:rFonts w:ascii="Calibri" w:eastAsia="MS Mincho" w:hAnsi="Calibri" w:cs="Calibri"/>
          <w:noProof/>
        </w:rPr>
        <w:t>dy, 2015, p. 189)</w:t>
      </w:r>
      <w:r w:rsidRPr="00055D66">
        <w:rPr>
          <w:rFonts w:ascii="Calibri" w:eastAsia="MS Mincho" w:hAnsi="Calibri" w:cs="Calibri"/>
        </w:rPr>
        <w:fldChar w:fldCharType="end"/>
      </w:r>
      <w:r w:rsidRPr="00055D66">
        <w:rPr>
          <w:rFonts w:ascii="Calibri" w:eastAsia="MS Mincho" w:hAnsi="Calibri" w:cs="Calibri"/>
        </w:rPr>
        <w:t>.</w:t>
      </w:r>
    </w:p>
    <w:p w14:paraId="7F6646D2" w14:textId="77777777" w:rsidR="0079774D" w:rsidRPr="00055D66" w:rsidRDefault="0079774D" w:rsidP="0079774D">
      <w:pPr>
        <w:spacing w:line="360" w:lineRule="auto"/>
        <w:ind w:firstLine="720"/>
        <w:rPr>
          <w:rFonts w:ascii="Calibri" w:eastAsia="MS Mincho" w:hAnsi="Calibri" w:cs="Calibri"/>
        </w:rPr>
      </w:pPr>
    </w:p>
    <w:p w14:paraId="58CA0DA8" w14:textId="56457F1F"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In wider debates about social work, care practice and other related intervention approaches with both </w:t>
      </w:r>
      <w:r>
        <w:rPr>
          <w:rFonts w:ascii="Calibri" w:eastAsia="MS Mincho" w:hAnsi="Calibri" w:cs="Calibri"/>
        </w:rPr>
        <w:t>young men and young women</w:t>
      </w:r>
      <w:r w:rsidRPr="00055D66">
        <w:rPr>
          <w:rFonts w:ascii="Calibri" w:eastAsia="MS Mincho" w:hAnsi="Calibri" w:cs="Calibri"/>
        </w:rPr>
        <w:t xml:space="preserve">, there is no consensus amongst researchers as to ‘what </w:t>
      </w:r>
      <w:proofErr w:type="gramStart"/>
      <w:r w:rsidRPr="00055D66">
        <w:rPr>
          <w:rFonts w:ascii="Calibri" w:eastAsia="MS Mincho" w:hAnsi="Calibri" w:cs="Calibri"/>
        </w:rPr>
        <w:t>works</w:t>
      </w:r>
      <w:r>
        <w:rPr>
          <w:rFonts w:ascii="Calibri" w:eastAsia="MS Mincho" w:hAnsi="Calibri" w:cs="Calibri"/>
        </w:rPr>
        <w:t>’</w:t>
      </w:r>
      <w:proofErr w:type="gramEnd"/>
      <w:r w:rsidRPr="00055D66">
        <w:rPr>
          <w:rFonts w:ascii="Calibri" w:eastAsia="MS Mincho" w:hAnsi="Calibri" w:cs="Calibri"/>
        </w:rPr>
        <w:t xml:space="preserve">. Differing perspectives </w:t>
      </w:r>
      <w:r>
        <w:rPr>
          <w:rFonts w:ascii="Calibri" w:eastAsia="MS Mincho" w:hAnsi="Calibri" w:cs="Calibri"/>
        </w:rPr>
        <w:t>as to</w:t>
      </w:r>
      <w:r w:rsidRPr="00055D66">
        <w:rPr>
          <w:rFonts w:ascii="Calibri" w:eastAsia="MS Mincho" w:hAnsi="Calibri" w:cs="Calibri"/>
        </w:rPr>
        <w:t xml:space="preserve"> how to approach particular concerns</w:t>
      </w:r>
      <w:r>
        <w:rPr>
          <w:rFonts w:ascii="Calibri" w:eastAsia="MS Mincho" w:hAnsi="Calibri" w:cs="Calibri"/>
        </w:rPr>
        <w:t>,</w:t>
      </w:r>
      <w:r w:rsidRPr="00055D66">
        <w:rPr>
          <w:rFonts w:ascii="Calibri" w:eastAsia="MS Mincho" w:hAnsi="Calibri" w:cs="Calibri"/>
        </w:rPr>
        <w:t xml:space="preserve"> vary according to the issues being explored. An appreciation of the wider context within which interventions take place and see the ‘bigger picture’ is important. Use of an ecological model can assist in illustrating and understanding the nature of service provision.</w:t>
      </w:r>
    </w:p>
    <w:p w14:paraId="5A7AD513" w14:textId="77777777" w:rsidR="0079774D" w:rsidRPr="00055D66" w:rsidRDefault="0079774D" w:rsidP="0079774D">
      <w:pPr>
        <w:spacing w:line="360" w:lineRule="auto"/>
        <w:jc w:val="center"/>
        <w:rPr>
          <w:rFonts w:ascii="Calibri" w:eastAsia="MS Mincho" w:hAnsi="Calibri" w:cs="Calibri"/>
        </w:rPr>
      </w:pPr>
      <w:r>
        <w:rPr>
          <w:noProof/>
        </w:rPr>
        <w:drawing>
          <wp:inline distT="0" distB="0" distL="0" distR="0" wp14:anchorId="19FF2D27" wp14:editId="6A2FA2E1">
            <wp:extent cx="4766553" cy="2240655"/>
            <wp:effectExtent l="0" t="0" r="0" b="0"/>
            <wp:docPr id="10" name="Picture 10"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4780649" cy="2247281"/>
                    </a:xfrm>
                    <a:prstGeom prst="rect">
                      <a:avLst/>
                    </a:prstGeom>
                  </pic:spPr>
                </pic:pic>
              </a:graphicData>
            </a:graphic>
          </wp:inline>
        </w:drawing>
      </w:r>
    </w:p>
    <w:p w14:paraId="354D1B16" w14:textId="77777777" w:rsidR="0079774D" w:rsidRPr="00055D66" w:rsidRDefault="0079774D" w:rsidP="0079774D">
      <w:pPr>
        <w:spacing w:line="360" w:lineRule="auto"/>
        <w:rPr>
          <w:rFonts w:ascii="Calibri" w:eastAsia="MS Mincho" w:hAnsi="Calibri" w:cs="Calibri"/>
        </w:rPr>
      </w:pPr>
    </w:p>
    <w:p w14:paraId="6A14E505" w14:textId="77777777" w:rsidR="0079774D" w:rsidRPr="00055D66" w:rsidRDefault="0079774D" w:rsidP="0079774D">
      <w:pPr>
        <w:spacing w:line="360" w:lineRule="auto"/>
        <w:ind w:left="1440"/>
        <w:rPr>
          <w:rFonts w:ascii="Calibri" w:eastAsia="MS Mincho" w:hAnsi="Calibri" w:cs="Calibri"/>
        </w:rPr>
      </w:pPr>
      <w:r w:rsidRPr="00055D66">
        <w:rPr>
          <w:rFonts w:ascii="Calibri" w:eastAsia="MS Mincho" w:hAnsi="Calibri" w:cs="Calibri"/>
        </w:rPr>
        <w:t>Figure 1: Ecological model of service provision and intervention approaches for ‘hard to reach’ young men (adapted from Bronfenbrenner 1979)</w:t>
      </w:r>
    </w:p>
    <w:p w14:paraId="3EA2DC57" w14:textId="77777777" w:rsidR="0079774D" w:rsidRPr="00055D66" w:rsidRDefault="0079774D" w:rsidP="0079774D">
      <w:pPr>
        <w:spacing w:line="360" w:lineRule="auto"/>
        <w:rPr>
          <w:rFonts w:ascii="Calibri" w:eastAsia="MS Mincho" w:hAnsi="Calibri" w:cs="Calibri"/>
        </w:rPr>
      </w:pPr>
    </w:p>
    <w:p w14:paraId="08EBC230" w14:textId="57144C0A"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The ecology of interventions with young men can be regarded a</w:t>
      </w:r>
      <w:r w:rsidR="22F1C14E" w:rsidRPr="088F2921">
        <w:rPr>
          <w:rFonts w:ascii="Calibri" w:eastAsia="MS Mincho" w:hAnsi="Calibri" w:cs="Calibri"/>
        </w:rPr>
        <w:t>s</w:t>
      </w:r>
      <w:r w:rsidRPr="088F2921">
        <w:rPr>
          <w:rFonts w:ascii="Calibri" w:eastAsia="MS Mincho" w:hAnsi="Calibri" w:cs="Calibri"/>
        </w:rPr>
        <w:t xml:space="preserve"> comprising four nested subsystems. At the centre of the model is the </w:t>
      </w:r>
      <w:r w:rsidRPr="088F2921">
        <w:rPr>
          <w:rFonts w:ascii="Calibri" w:eastAsia="MS Mincho" w:hAnsi="Calibri" w:cs="Calibri"/>
          <w:i/>
          <w:iCs/>
        </w:rPr>
        <w:t>microsystem</w:t>
      </w:r>
      <w:r w:rsidRPr="088F2921">
        <w:rPr>
          <w:rFonts w:ascii="Calibri" w:eastAsia="MS Mincho" w:hAnsi="Calibri" w:cs="Calibri"/>
        </w:rPr>
        <w:t xml:space="preserve"> – the layer closest to the individual which encompasses young men’s intersecting knowledge and beliefs systems, their social backgrounds and experiences. It is synonymous with the ideology that young men are not an homogenous mass and should be understood through appreciating that their intersectional identities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{"citationItems":[{"id":"ITEM-1","itemData":{"DOI":"10.1016/0011-9164(90)80039-E","ISBN":"9780429969034","ISSN":"00119164","PMID":"21675331","abstract":"Desalination costs have been shown to have fallen considerably in real cost terms until the recent material cost rises occurred. It seems unlikely that entirely new processes will take the place of existing techniques during the next few years. The emphasis for development is therefore on steady improvements in existing processes. Savings in capital costs by cheaper materials and mass production of components and in operation and energy costs can all contribute to progressive rather than dramatic fall in real costs. It is probably only in brackish water and effluent treatment that desalination can become competitive with conventional treatment techniques in cost terms. There could be considerable scope for such applications in Third World as well as industrialized countries. © 1990.","author":[{"dropping-particle":"","family":"Crenshaw","given":"Kimberle","non-dropping-particle":"","parse-names":false,"suffix":""}],"container-title":"University of Chicago Legal Forum","id":"ITEM-1","issue":"2","issued":{"date-parts":[["1989"]]},"page":"147-156","title":"Demarginalizing the intersection of race and sex: A black feminist critique of antidiscrimination doctrine, feminist theory and antiracist politics. University of Chicago Legal Forum, 139, 139–167.","type":"article-journal","volume":"78"},"uris":["http://www.mendeley.com/documents/?uuid=39e83779-46e5-4d41-aca5-4825982890c8"]}],"mendeley":{"formattedCitation":"(Crenshaw, 1989)","plainTextFormattedCitation":"(Crenshaw, 1989)","previouslyFormattedCitation":"(Crenshaw, 1989)"},"properties":{"noteIndex":0},"schema":"https://github.com/citation-style-language/schema/raw/master/csl-citation.json"}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(Crenshaw, 1989)</w:t>
      </w:r>
      <w:r w:rsidRPr="088F2921">
        <w:rPr>
          <w:rFonts w:ascii="Calibri" w:eastAsia="MS Mincho" w:hAnsi="Calibri" w:cs="Calibri"/>
        </w:rPr>
        <w:fldChar w:fldCharType="end"/>
      </w:r>
      <w:r w:rsidRPr="088F2921">
        <w:rPr>
          <w:rFonts w:ascii="Calibri" w:eastAsia="MS Mincho" w:hAnsi="Calibri" w:cs="Calibri"/>
        </w:rPr>
        <w:t>, which are shaped by personal knowledge, beliefs, behaviours, their educational experiences and the wider world they inhabit.</w:t>
      </w:r>
    </w:p>
    <w:p w14:paraId="578550FA" w14:textId="77777777" w:rsidR="0079774D" w:rsidRPr="00055D66" w:rsidRDefault="0079774D" w:rsidP="0079774D">
      <w:pPr>
        <w:spacing w:line="360" w:lineRule="auto"/>
        <w:rPr>
          <w:rFonts w:ascii="Calibri" w:eastAsia="MS Mincho" w:hAnsi="Calibri" w:cs="Calibri"/>
        </w:rPr>
      </w:pPr>
    </w:p>
    <w:p w14:paraId="308060BC" w14:textId="6EC18B5E"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The next layer is the mesosystem which encompasses the relationships and interactions young men have in their homes, schools</w:t>
      </w:r>
      <w:r>
        <w:rPr>
          <w:rFonts w:ascii="Calibri" w:eastAsia="MS Mincho" w:hAnsi="Calibri" w:cs="Calibri"/>
        </w:rPr>
        <w:t xml:space="preserve"> and </w:t>
      </w:r>
      <w:r w:rsidRPr="00055D66">
        <w:rPr>
          <w:rFonts w:ascii="Calibri" w:eastAsia="MS Mincho" w:hAnsi="Calibri" w:cs="Calibri"/>
        </w:rPr>
        <w:t xml:space="preserve">local services. Bi-directional influences are strongest here and have the greatest impact on the individual formation of values and practices (Bronfenbrenner, 1979). Relevant to work with young men here is the notion that underlying any effective intervention is an approach that is collaborative and relationship-based. The way in which interventions are delivered and by whom are consistently highlighted as key considerations in the wider research (e.g.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{"citationItems":[{"id":"ITEM-1","itemData":{"DOI":"10.1177/1440783316667638","ISBN":"1440783316667","ISSN":"17412978","abstract":"© 2016, © The Author(s) 2016. Increasingly in international research and popular media a growing interest in men and fatherhood is discernible. These changes occur as other aspects of the socio-economic world shift, necessitating the need to re-address how caring and paid work responsibilities are configured and practised. However, interest in men’s experiences as fathers has emerged in ways which reflect cultural assumptions and practices associated with dominant understandings of masculinities. Consequently, research on and evidence of changing behaviours has been culturally and geographically uneven. In this paper, two qualitative studies are drawn upon to examine how men living in Australia and the UK engage in/narrate experiences of preparation for first-time fatherhood. These studies compare men’s in-depth accounts of preparing for first-time fatherhood in cultures where understandings of masculinities overlap, but where differences are also discernible. The findings illuminate the ways in which biology, gender, temporality and histories of masculinities frame men’s preparation activities and service provision.","author":[{"dropping-particle":"","family":"Miller","given":"Tina","non-dropping-particle":"","parse-names":false,"suffix":""},{"dropping-particle":"","family":"Nash","given":"Meredith","non-dropping-particle":"","parse-names":false,"suffix":""}],"container-title":"Journal of Sociology","id":"ITEM-1","issue":"3","issued":{"date-parts":[["2017"]]},"page":"541-556","title":"‘I just think something like the “Bubs and Pubs” class is what men should be having’: Paternal subjectivities and preparing for first-time fatherhood in Australia and the United Kingdom","type":"article-journal","volume":"53"},"uris":["http://www.mendeley.com/documents/?uuid=3c00951c-38d3-4b7b-8c2c-5ec9c584effb"]}],"mendeley":{"formattedCitation":"(Miller and Nash, 2017)","manualFormatting":"Miller &amp; Nash 2017; Haslam et al. 2018)","plainTextFormattedCitation":"(Miller and Nash, 2017)","previouslyFormattedCitation":"(Miller and Nash,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Miller &amp; Nash</w:t>
      </w:r>
      <w:r w:rsidR="00FA5A97">
        <w:rPr>
          <w:rFonts w:ascii="Calibri" w:eastAsia="MS Mincho" w:hAnsi="Calibri" w:cs="Calibri"/>
          <w:noProof/>
        </w:rPr>
        <w:t>,</w:t>
      </w:r>
      <w:r w:rsidRPr="00055D66">
        <w:rPr>
          <w:rFonts w:ascii="Calibri" w:eastAsia="MS Mincho" w:hAnsi="Calibri" w:cs="Calibri"/>
          <w:noProof/>
        </w:rPr>
        <w:t xml:space="preserve"> 2017; Haslam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Pr="00055D66">
        <w:rPr>
          <w:rFonts w:ascii="Calibri" w:eastAsia="MS Mincho" w:hAnsi="Calibri" w:cs="Calibri"/>
          <w:noProof/>
        </w:rPr>
        <w:t xml:space="preserve"> 2018)</w:t>
      </w:r>
      <w:r w:rsidRPr="00055D66">
        <w:rPr>
          <w:rFonts w:ascii="Calibri" w:eastAsia="MS Mincho" w:hAnsi="Calibri" w:cs="Calibri"/>
        </w:rPr>
        <w:fldChar w:fldCharType="end"/>
      </w:r>
      <w:r w:rsidRPr="00055D66">
        <w:rPr>
          <w:rFonts w:ascii="Calibri" w:eastAsia="MS Mincho" w:hAnsi="Calibri" w:cs="Calibri"/>
        </w:rPr>
        <w:t xml:space="preserve">. Interventions must take into account that every person is an individual. It is important to acknowledge that the kinds of specific, practical interventions that </w:t>
      </w:r>
      <w:r>
        <w:rPr>
          <w:rFonts w:ascii="Calibri" w:eastAsia="MS Mincho" w:hAnsi="Calibri" w:cs="Calibri"/>
        </w:rPr>
        <w:t>young men</w:t>
      </w:r>
      <w:r w:rsidRPr="00055D66">
        <w:rPr>
          <w:rFonts w:ascii="Calibri" w:eastAsia="MS Mincho" w:hAnsi="Calibri" w:cs="Calibri"/>
        </w:rPr>
        <w:t xml:space="preserve"> respond to may vary according to trends, personal preferences and peer groups interests. </w:t>
      </w:r>
    </w:p>
    <w:p w14:paraId="480BE4F0" w14:textId="77777777" w:rsidR="0079774D" w:rsidRPr="00055D66" w:rsidRDefault="0079774D" w:rsidP="0079774D">
      <w:pPr>
        <w:spacing w:line="360" w:lineRule="auto"/>
        <w:rPr>
          <w:rFonts w:ascii="Calibri" w:eastAsia="MS Mincho" w:hAnsi="Calibri" w:cs="Calibri"/>
        </w:rPr>
      </w:pPr>
    </w:p>
    <w:p w14:paraId="0B5AA076"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The exosystem is composed of the various </w:t>
      </w:r>
      <w:r>
        <w:rPr>
          <w:rFonts w:ascii="Calibri" w:eastAsia="MS Mincho" w:hAnsi="Calibri" w:cs="Calibri"/>
        </w:rPr>
        <w:t xml:space="preserve">wider social </w:t>
      </w:r>
      <w:r w:rsidRPr="00055D66">
        <w:rPr>
          <w:rFonts w:ascii="Calibri" w:eastAsia="MS Mincho" w:hAnsi="Calibri" w:cs="Calibri"/>
        </w:rPr>
        <w:t xml:space="preserve">cultural norms of the city young men come into contact with. For example, if statistics indicate that young men are committing high proportions of knife crime, it is often the case that this issue is positioned as a problem with youth, rather than a social problem. However, research indicates that many complex issues are at play. Poverty is an issue that drives instances of knife crime up. It could be argued that disadvantaged young people who experience struggles at home or in their community act out at </w:t>
      </w:r>
      <w:r w:rsidRPr="00055D66">
        <w:rPr>
          <w:rFonts w:ascii="Calibri" w:eastAsia="MS Mincho" w:hAnsi="Calibri" w:cs="Calibri"/>
        </w:rPr>
        <w:lastRenderedPageBreak/>
        <w:t>school and get excluded. They are therefore not engaging in being socialised to manage conflict more effectively.</w:t>
      </w:r>
    </w:p>
    <w:p w14:paraId="2ECA771B" w14:textId="77777777" w:rsidR="0079774D" w:rsidRPr="00055D66" w:rsidRDefault="0079774D" w:rsidP="0079774D">
      <w:pPr>
        <w:spacing w:line="360" w:lineRule="auto"/>
        <w:rPr>
          <w:rFonts w:ascii="Calibri" w:eastAsia="MS Mincho" w:hAnsi="Calibri" w:cs="Calibri"/>
        </w:rPr>
      </w:pPr>
    </w:p>
    <w:p w14:paraId="28480F0B"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Finally, the macrosystem is the political, and economic conditions which shape the way that services operate. Here the political context is important. Austerity measures, reluctance to spend money on services, and the cutting or curtailing of key provisions impact upon the quality and quantity of resources that can be provided. This ecosystem is dynamic: the different layers interact with each other.  Therefore, what happens politically has a knock-on effect locally. </w:t>
      </w:r>
    </w:p>
    <w:p w14:paraId="6F75D05E" w14:textId="77777777" w:rsidR="0079774D" w:rsidRPr="00055D66" w:rsidRDefault="0079774D" w:rsidP="0079774D">
      <w:pPr>
        <w:spacing w:line="360" w:lineRule="auto"/>
        <w:rPr>
          <w:rFonts w:ascii="Calibri" w:eastAsia="MS Mincho" w:hAnsi="Calibri" w:cs="Calibri"/>
        </w:rPr>
      </w:pPr>
    </w:p>
    <w:p w14:paraId="15C788E8" w14:textId="77777777" w:rsidR="0079774D" w:rsidRPr="00055D66" w:rsidRDefault="0079774D" w:rsidP="0079774D">
      <w:pPr>
        <w:spacing w:line="360" w:lineRule="auto"/>
        <w:rPr>
          <w:rFonts w:ascii="Calibri" w:eastAsia="MS Mincho" w:hAnsi="Calibri" w:cs="Calibri"/>
          <w:i/>
          <w:iCs/>
        </w:rPr>
      </w:pPr>
      <w:r w:rsidRPr="00DC0E8C">
        <w:rPr>
          <w:rFonts w:ascii="Calibri" w:eastAsia="MS Mincho" w:hAnsi="Calibri" w:cs="Calibri"/>
          <w:i/>
          <w:iCs/>
        </w:rPr>
        <w:t>2.3.</w:t>
      </w:r>
      <w:r>
        <w:rPr>
          <w:rFonts w:ascii="Calibri" w:eastAsia="MS Mincho" w:hAnsi="Calibri" w:cs="Calibri"/>
          <w:i/>
          <w:iCs/>
        </w:rPr>
        <w:t>2</w:t>
      </w:r>
      <w:r w:rsidRPr="00DC0E8C">
        <w:rPr>
          <w:rFonts w:ascii="Calibri" w:eastAsia="MS Mincho" w:hAnsi="Calibri" w:cs="Calibri"/>
          <w:i/>
          <w:iCs/>
        </w:rPr>
        <w:t xml:space="preserve"> Barriers to effective practice</w:t>
      </w:r>
    </w:p>
    <w:p w14:paraId="22DBEF58" w14:textId="1A595C06"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The ability and capacity of workers to engage young men early on in supportive and appropriate services is identified as significant in this review.  Many young men may feel unheard, mistrustful of services and disengage from an early age. ‘E’, the 17 year old young man from Brighton and Hove who died as a result of hanging, was reported to have a good relationship with the family’s supervising social worker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{"citationItems":[{"id":"ITEM-1","itemData":{"author":[{"dropping-particle":"","family":"Rogers","given":"Leighe","non-dropping-particle":"","parse-names":false,"suffix":""}],"id":"ITEM-1","issue":"April","issued":{"date-parts":[["2016"]]},"page":"1-60","title":"Brighton &amp; Hove Safeguarding Children Board Serious Case Review : Child E Lead Reviewers : Sally Trench","type":"article-journal"},"uris":["http://www.mendeley.com/documents/?uuid=41b2d3c4-9214-4379-a803-6fa3aa553563"]}],"mendeley":{"formattedCitation":"(Rogers, 2016)","plainTextFormattedCitation":"(Rogers, 2016)","previouslyFormattedCitation":"(Rogers, 2016)"},"properties":{"noteIndex":0},"schema":"https://github.com/citation-style-language/schema/raw/master/csl-citation.json"}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(Rogers, 2016)</w:t>
      </w:r>
      <w:r w:rsidRPr="088F2921">
        <w:rPr>
          <w:rFonts w:ascii="Calibri" w:eastAsia="MS Mincho" w:hAnsi="Calibri" w:cs="Calibri"/>
        </w:rPr>
        <w:fldChar w:fldCharType="end"/>
      </w:r>
      <w:r w:rsidRPr="088F2921">
        <w:rPr>
          <w:rFonts w:ascii="Calibri" w:eastAsia="MS Mincho" w:hAnsi="Calibri" w:cs="Calibri"/>
        </w:rPr>
        <w:t xml:space="preserve">. However, there were four changes to his social worker, and in the last 22 months of his life, records indicate that ‘no social worker saw E more than five times’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{"citationItems":[{"id":"ITEM-1","itemData":{"author":[{"dropping-particle":"","family":"Rogers","given":"Leighe","non-dropping-particle":"","parse-names":false,"suffix":""}],"id":"ITEM-1","issue":"April","issued":{"date-parts":[["2016"]]},"page":"1-60","title":"Brighton &amp; Hove Safeguarding Children Board Serious Case Review : Child E Lead Reviewers : Sally Trench","type":"article-journal"},"locator":"13","uris":["http://www.mendeley.com/documents/?uuid=41b2d3c4-9214-4379-a803-6fa3aa553563"]}],"mendeley":{"formattedCitation":"(Rogers, 2016, p. 13)","plainTextFormattedCitation":"(Rogers, 2016, p. 13)","previouslyFormattedCitation":"(Rogers, 2016, p. 13)"},"properties":{"noteIndex":0},"schema":"https://github.com/citation-style-language/schema/raw/master/csl-citation.json"}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(Rogers, 2016, p. 13)</w:t>
      </w:r>
      <w:r w:rsidRPr="088F2921">
        <w:rPr>
          <w:rFonts w:ascii="Calibri" w:eastAsia="MS Mincho" w:hAnsi="Calibri" w:cs="Calibri"/>
        </w:rPr>
        <w:fldChar w:fldCharType="end"/>
      </w:r>
      <w:r w:rsidRPr="088F2921">
        <w:rPr>
          <w:rFonts w:ascii="Calibri" w:eastAsia="MS Mincho" w:hAnsi="Calibri" w:cs="Calibri"/>
        </w:rPr>
        <w:t xml:space="preserve">. Therefore, consistency and continuity are identified </w:t>
      </w:r>
      <w:r w:rsidR="52217D34" w:rsidRPr="088F2921">
        <w:rPr>
          <w:rFonts w:ascii="Calibri" w:eastAsia="MS Mincho" w:hAnsi="Calibri" w:cs="Calibri"/>
        </w:rPr>
        <w:t xml:space="preserve">once more </w:t>
      </w:r>
      <w:r w:rsidRPr="088F2921">
        <w:rPr>
          <w:rFonts w:ascii="Calibri" w:eastAsia="MS Mincho" w:hAnsi="Calibri" w:cs="Calibri"/>
        </w:rPr>
        <w:t xml:space="preserve">as key factors required in improving outcomes for young men. </w:t>
      </w:r>
    </w:p>
    <w:p w14:paraId="6A79CC3F" w14:textId="77777777" w:rsidR="0079774D" w:rsidRPr="00055D66" w:rsidRDefault="0079774D" w:rsidP="0079774D">
      <w:pPr>
        <w:spacing w:line="360" w:lineRule="auto"/>
        <w:rPr>
          <w:rFonts w:ascii="Calibri" w:eastAsia="MS Mincho" w:hAnsi="Calibri" w:cs="Calibri"/>
        </w:rPr>
      </w:pPr>
    </w:p>
    <w:p w14:paraId="5D9D7F73" w14:textId="40B60BCD"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The word ‘drift’ is often used in </w:t>
      </w:r>
      <w:r w:rsidR="6CD73CE1" w:rsidRPr="088F2921">
        <w:rPr>
          <w:rFonts w:ascii="Calibri" w:eastAsia="MS Mincho" w:hAnsi="Calibri" w:cs="Calibri"/>
        </w:rPr>
        <w:t xml:space="preserve">some </w:t>
      </w:r>
      <w:r w:rsidRPr="088F2921">
        <w:rPr>
          <w:rFonts w:ascii="Calibri" w:eastAsia="MS Mincho" w:hAnsi="Calibri" w:cs="Calibri"/>
        </w:rPr>
        <w:t xml:space="preserve">serious case reviews (SCR) to describe inadequate practitioner assessments and interventions and in the SCR of E, this </w:t>
      </w:r>
      <w:r w:rsidR="7EB0C2CF" w:rsidRPr="088F2921">
        <w:rPr>
          <w:rFonts w:ascii="Calibri" w:eastAsia="MS Mincho" w:hAnsi="Calibri" w:cs="Calibri"/>
        </w:rPr>
        <w:t>term</w:t>
      </w:r>
      <w:r w:rsidRPr="088F2921">
        <w:rPr>
          <w:rFonts w:ascii="Calibri" w:eastAsia="MS Mincho" w:hAnsi="Calibri" w:cs="Calibri"/>
        </w:rPr>
        <w:t xml:space="preserve"> is used several times. Amidst the complexity of the case ‘a general sense of drift and loss of momentum’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{"citationItems":[{"id":"ITEM-1","itemData":{"author":[{"dropping-particle":"","family":"Rogers","given":"Leighe","non-dropping-particle":"","parse-names":false,"suffix":""}],"id":"ITEM-1","issue":"April","issued":{"date-parts":[["2016"]]},"page":"1-60","title":"Brighton &amp; Hove Safeguarding Children Board Serious Case Review : Child E Lead Reviewers : Sally Trench","type":"article-journal"},"locator":"15","uris":["http://www.mendeley.com/documents/?uuid=41b2d3c4-9214-4379-a803-6fa3aa553563"]}],"mendeley":{"formattedCitation":"(Rogers, 2016, p. 15)","plainTextFormattedCitation":"(Rogers, 2016, p. 15)","previouslyFormattedCitation":"(Rogers, 2016, p. 15)"},"properties":{"noteIndex":0},"schema":"https://github.com/citation-style-language/schema/raw/master/csl-citation.json"}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(Rogers, 2016, p. 15)</w:t>
      </w:r>
      <w:r w:rsidRPr="088F2921">
        <w:rPr>
          <w:rFonts w:ascii="Calibri" w:eastAsia="MS Mincho" w:hAnsi="Calibri" w:cs="Calibri"/>
        </w:rPr>
        <w:fldChar w:fldCharType="end"/>
      </w:r>
      <w:r w:rsidRPr="088F2921">
        <w:rPr>
          <w:rFonts w:ascii="Calibri" w:eastAsia="MS Mincho" w:hAnsi="Calibri" w:cs="Calibri"/>
        </w:rPr>
        <w:t xml:space="preserve"> at critical points, highlights the poor focus </w:t>
      </w:r>
      <w:r w:rsidR="3498EE14" w:rsidRPr="088F2921">
        <w:rPr>
          <w:rFonts w:ascii="Calibri" w:eastAsia="MS Mincho" w:hAnsi="Calibri" w:cs="Calibri"/>
        </w:rPr>
        <w:t>up</w:t>
      </w:r>
      <w:r w:rsidRPr="088F2921">
        <w:rPr>
          <w:rFonts w:ascii="Calibri" w:eastAsia="MS Mincho" w:hAnsi="Calibri" w:cs="Calibri"/>
        </w:rPr>
        <w:t xml:space="preserve">on E’s needs. The succession of agency social workers and an associated ‘lack of a </w:t>
      </w:r>
      <w:r w:rsidR="24A6DDDD" w:rsidRPr="088F2921">
        <w:rPr>
          <w:rFonts w:ascii="Calibri" w:eastAsia="MS Mincho" w:hAnsi="Calibri" w:cs="Calibri"/>
        </w:rPr>
        <w:t xml:space="preserve">[coherent] </w:t>
      </w:r>
      <w:r w:rsidRPr="088F2921">
        <w:rPr>
          <w:rFonts w:ascii="Calibri" w:eastAsia="MS Mincho" w:hAnsi="Calibri" w:cs="Calibri"/>
        </w:rPr>
        <w:t xml:space="preserve">chronology’ were suggested as concerns, ‘which would have identified patterns of behaviour, and their meaning’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{"citationItems":[{"id":"ITEM-1","itemData":{"author":[{"dropping-particle":"","family":"Rogers","given":"Leighe","non-dropping-particle":"","parse-names":false,"suffix":""}],"id":"ITEM-1","issue":"April","issued":{"date-parts":[["2016"]]},"page":"1-60","title":"Brighton &amp; Hove Safeguarding Children Board Serious Case Review : Child E Lead Reviewers : Sally Trench","type":"article-journal"},"locator":"14","uris":["http://www.mendeley.com/documents/?uuid=41b2d3c4-9214-4379-a803-6fa3aa553563"]}],"mendeley":{"formattedCitation":"(Rogers, 2016, p. 14)","plainTextFormattedCitation":"(Rogers, 2016, p. 14)","previouslyFormattedCitation":"(Rogers, 2016, p. 14)"},"properties":{"noteIndex":0},"schema":"https://github.com/citation-style-language/schema/raw/master/csl-citation.json"}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(Rogers, 2016, p. 14)</w:t>
      </w:r>
      <w:r w:rsidRPr="088F2921">
        <w:rPr>
          <w:rFonts w:ascii="Calibri" w:eastAsia="MS Mincho" w:hAnsi="Calibri" w:cs="Calibri"/>
        </w:rPr>
        <w:fldChar w:fldCharType="end"/>
      </w:r>
      <w:r w:rsidRPr="088F2921">
        <w:rPr>
          <w:rFonts w:ascii="Calibri" w:eastAsia="MS Mincho" w:hAnsi="Calibri" w:cs="Calibri"/>
        </w:rPr>
        <w:t xml:space="preserve">. Extreme examples of E’s risk-taking behaviour, his self-medication with drink and drugs, along with clear signs of depression and anxiety, were lost. Although an appropriate referral to a local </w:t>
      </w:r>
      <w:r w:rsidRPr="088F2921">
        <w:rPr>
          <w:rFonts w:ascii="Calibri" w:eastAsia="MS Mincho" w:hAnsi="Calibri" w:cs="Calibri"/>
        </w:rPr>
        <w:lastRenderedPageBreak/>
        <w:t xml:space="preserve">service was made by the supervising social worker for substance misuse, E declined to engage. Loss of focus and momentum is often a common characteristic of service provision with young people with high and complex needs. Engaging and sustaining work with young people who present as chaotic and resistant to change can be challenging for professional interventions.  </w:t>
      </w:r>
    </w:p>
    <w:p w14:paraId="63D31CAB" w14:textId="3BA60097" w:rsidR="088F2921" w:rsidRDefault="088F2921" w:rsidP="088F2921">
      <w:pPr>
        <w:spacing w:line="360" w:lineRule="auto"/>
        <w:rPr>
          <w:rFonts w:ascii="Calibri" w:eastAsia="MS Mincho" w:hAnsi="Calibri" w:cs="Calibri"/>
        </w:rPr>
      </w:pPr>
    </w:p>
    <w:p w14:paraId="61A72E9D" w14:textId="3E52E4C7" w:rsidR="4E9BB58E" w:rsidRDefault="4E9BB58E" w:rsidP="088F2921">
      <w:pPr>
        <w:spacing w:line="360" w:lineRule="auto"/>
        <w:rPr>
          <w:rFonts w:ascii="Calibri" w:eastAsia="MS Mincho" w:hAnsi="Calibri" w:cs="Calibri"/>
        </w:rPr>
      </w:pPr>
      <w:r w:rsidRPr="088F2921">
        <w:rPr>
          <w:rFonts w:ascii="Calibri" w:eastAsia="MS Mincho" w:hAnsi="Calibri" w:cs="Calibri"/>
        </w:rPr>
        <w:t xml:space="preserve">A lack of collaborative or joined up working has long been recognised as a contributory factor to negative outcomes of planned interventions. </w:t>
      </w:r>
      <w:r w:rsidR="4A6E5303" w:rsidRPr="088F2921">
        <w:rPr>
          <w:rFonts w:ascii="Calibri" w:eastAsia="MS Mincho" w:hAnsi="Calibri" w:cs="Calibri"/>
        </w:rPr>
        <w:t xml:space="preserve">Indeed, 10 years ago, the </w:t>
      </w:r>
      <w:proofErr w:type="gramStart"/>
      <w:r w:rsidR="4A6E5303" w:rsidRPr="088F2921">
        <w:rPr>
          <w:rFonts w:ascii="Calibri" w:eastAsia="MS Mincho" w:hAnsi="Calibri" w:cs="Calibri"/>
        </w:rPr>
        <w:t>Home</w:t>
      </w:r>
      <w:proofErr w:type="gramEnd"/>
      <w:r w:rsidR="4A6E5303" w:rsidRPr="088F2921">
        <w:rPr>
          <w:rFonts w:ascii="Calibri" w:eastAsia="MS Mincho" w:hAnsi="Calibri" w:cs="Calibri"/>
        </w:rPr>
        <w:t xml:space="preserve"> office (2011</w:t>
      </w:r>
      <w:r w:rsidR="0CD27E44" w:rsidRPr="088F2921">
        <w:rPr>
          <w:rFonts w:ascii="Calibri" w:eastAsia="MS Mincho" w:hAnsi="Calibri" w:cs="Calibri"/>
        </w:rPr>
        <w:t>, p11</w:t>
      </w:r>
      <w:r w:rsidR="4A6E5303" w:rsidRPr="088F2921">
        <w:rPr>
          <w:rFonts w:ascii="Calibri" w:eastAsia="MS Mincho" w:hAnsi="Calibri" w:cs="Calibri"/>
        </w:rPr>
        <w:t xml:space="preserve">) stated that: </w:t>
      </w:r>
    </w:p>
    <w:p w14:paraId="1FAEB829" w14:textId="71B1EC6A" w:rsidR="088F2921" w:rsidRDefault="088F2921" w:rsidP="088F2921">
      <w:pPr>
        <w:spacing w:line="360" w:lineRule="auto"/>
        <w:rPr>
          <w:rFonts w:ascii="GillSans" w:eastAsia="GillSans" w:hAnsi="GillSans" w:cs="GillSans"/>
        </w:rPr>
      </w:pPr>
    </w:p>
    <w:p w14:paraId="689B0886" w14:textId="541B871D" w:rsidR="0FF6D05D" w:rsidRPr="00A06918" w:rsidRDefault="0FF6D05D" w:rsidP="00301C85">
      <w:pPr>
        <w:ind w:left="720"/>
        <w:rPr>
          <w:rFonts w:asciiTheme="majorHAnsi" w:eastAsia="MS Mincho" w:hAnsiTheme="majorHAnsi" w:cstheme="majorHAnsi"/>
        </w:rPr>
      </w:pPr>
      <w:r w:rsidRPr="00A06918">
        <w:rPr>
          <w:rFonts w:asciiTheme="majorHAnsi" w:eastAsia="GillSans" w:hAnsiTheme="majorHAnsi" w:cstheme="majorHAnsi"/>
        </w:rPr>
        <w:t xml:space="preserve">The police and other agencies need the support and powers to protect communities affected by gangs and to bring the violence under control. But gang and youth violence </w:t>
      </w:r>
      <w:proofErr w:type="gramStart"/>
      <w:r w:rsidRPr="00A06918">
        <w:rPr>
          <w:rFonts w:asciiTheme="majorHAnsi" w:eastAsia="GillSans" w:hAnsiTheme="majorHAnsi" w:cstheme="majorHAnsi"/>
        </w:rPr>
        <w:t>is</w:t>
      </w:r>
      <w:proofErr w:type="gramEnd"/>
      <w:r w:rsidRPr="00A06918">
        <w:rPr>
          <w:rFonts w:asciiTheme="majorHAnsi" w:eastAsia="GillSans" w:hAnsiTheme="majorHAnsi" w:cstheme="majorHAnsi"/>
        </w:rPr>
        <w:t xml:space="preserve"> not a problem that can be solved by enforcement alone. We need to change the life</w:t>
      </w:r>
      <w:r w:rsidR="00623834">
        <w:rPr>
          <w:rFonts w:asciiTheme="majorHAnsi" w:hAnsiTheme="majorHAnsi" w:cstheme="majorHAnsi"/>
        </w:rPr>
        <w:t xml:space="preserve"> </w:t>
      </w:r>
      <w:r w:rsidRPr="00A06918">
        <w:rPr>
          <w:rFonts w:asciiTheme="majorHAnsi" w:eastAsia="GillSans" w:hAnsiTheme="majorHAnsi" w:cstheme="majorHAnsi"/>
        </w:rPr>
        <w:t xml:space="preserve">stories of young people who end up dead or wounded on our streets or are getting locked into a cycle of re-offending. Only by encouraging every agency to join up and share information, resources and accountability can these problems be solved. </w:t>
      </w:r>
    </w:p>
    <w:p w14:paraId="2A2AF053" w14:textId="72F30086" w:rsidR="088F2921" w:rsidRPr="00A06918" w:rsidRDefault="088F2921" w:rsidP="00301C85">
      <w:pPr>
        <w:ind w:firstLine="720"/>
        <w:rPr>
          <w:rFonts w:asciiTheme="majorHAnsi" w:eastAsia="GillSans" w:hAnsiTheme="majorHAnsi" w:cstheme="majorHAnsi"/>
        </w:rPr>
      </w:pPr>
    </w:p>
    <w:p w14:paraId="7E2F5490" w14:textId="77777777" w:rsidR="0079774D" w:rsidRPr="00055D66" w:rsidRDefault="0079774D" w:rsidP="0079774D">
      <w:pPr>
        <w:spacing w:line="360" w:lineRule="auto"/>
        <w:rPr>
          <w:rFonts w:ascii="Calibri" w:eastAsia="MS Mincho" w:hAnsi="Calibri" w:cs="Calibri"/>
        </w:rPr>
      </w:pPr>
    </w:p>
    <w:p w14:paraId="78CC06D4"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Shame and guilt may be regarded as a barrier to engagement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{"citationItems":[{"id":"ITEM-1","itemData":{"DOI":"10.1093/bjsw/bcu140","ISSN":"1468263X","abstract":"While shame has historically been neglected in emotion research,there is now a large body of research evidence by which to understand the concept and the phenomenology which suggests that shame can have a pervasive and negative effect on individuals’ lives and reltionships. It can be considered to be an emotion that relates to a belief that the self is flawed and that one is not worthy of acceptance and belonging. This paper reports on a scoping review of shame experienced by social workers, identifying the nature and extent of the research evidence. Shame was operationalised through a working model providedbythe seminalworkof Lewis(1971).Thesearch strategys ought to identify qualitative studies relating to social workers’ personal experiences of practice. Data were extracted that met the criteria in the working model for shame and a thematic analysis appliedto the extracted data.Theresults suggest that,while shame was unacknowledged in the research, it is a common experience for many social workers with indications that it influences practitioners’ job satisfaction,staff retention and an ability to practice ethically. Areas for future research are identified","author":[{"dropping-particle":"","family":"Gibson","given":"Matthew","non-dropping-particle":"","parse-names":false,"suffix":""}],"container-title":"British Journal of Social Work","id":"ITEM-1","issue":"2","issued":{"date-parts":[["2016"]]},"title":"Social Worker Shame: A Scoping Review","type":"article","volume":"46"},"uris":["http://www.mendeley.com/documents/?uuid=a1018cbf-1e3c-3e09-b94d-2bcabf500fb3"]}],"mendeley":{"formattedCitation":"(Gibson, 2016)","plainTextFormattedCitation":"(Gibson, 2016)","previouslyFormattedCitation":"(Gibson, 2016)"},"properties":{"noteIndex":0},"schema":"https://github.com/citation-style-language/schema/raw/master/csl-citation.json"}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(Gibson, 2016)</w:t>
      </w:r>
      <w:r w:rsidRPr="00055D66">
        <w:rPr>
          <w:rFonts w:ascii="Calibri" w:eastAsia="MS Mincho" w:hAnsi="Calibri" w:cs="Calibri"/>
        </w:rPr>
        <w:fldChar w:fldCharType="end"/>
      </w:r>
      <w:r w:rsidRPr="00055D66">
        <w:rPr>
          <w:rFonts w:ascii="Calibri" w:eastAsia="MS Mincho" w:hAnsi="Calibri" w:cs="Calibri"/>
        </w:rPr>
        <w:t xml:space="preserve">. These emotions are ‘most acutely observed’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{"citationItems":[{"id":"ITEM-1","itemData":{"DOI":"10.1093/bjsw/bcu140","ISSN":"1468263X","abstract":"While shame has historically been neglected in emotion research,there is now a large body of research evidence by which to understand the concept and the phenomenology which suggests that shame can have a pervasive and negative effect on individuals’ lives and reltionships. It can be considered to be an emotion that relates to a belief that the self is flawed and that one is not worthy of acceptance and belonging. This paper reports on a scoping review of shame experienced by social workers, identifying the nature and extent of the research evidence. Shame was operationalised through a working model providedbythe seminalworkof Lewis(1971).Thesearch strategys ought to identify qualitative studies relating to social workers’ personal experiences of practice. Data were extracted that met the criteria in the working model for shame and a thematic analysis appliedto the extracted data.Theresults suggest that,while shame was unacknowledged in the research, it is a common experience for many social workers with indications that it influences practitioners’ job satisfaction,staff retention and an ability to practice ethically. Areas for future research are identified","author":[{"dropping-particle":"","family":"Gibson","given":"Matthew","non-dropping-particle":"","parse-names":false,"suffix":""}],"container-title":"British Journal of Social Work","id":"ITEM-1","issue":"2","issued":{"date-parts":[["2016"]]},"title":"Social Worker Shame: A Scoping Review","type":"article","volume":"46"},"locator":"337","uris":["http://www.mendeley.com/documents/?uuid=a1018cbf-1e3c-3e09-b94d-2bcabf500fb3"]}],"mendeley":{"formattedCitation":"(Gibson, 2016, p. 337)","plainTextFormattedCitation":"(Gibson, 2016, p. 337)","previouslyFormattedCitation":"(Gibson, 2016, p. 337)"},"properties":{"noteIndex":0},"schema":"https://github.com/citation-style-language/schema/raw/master/csl-citation.json"}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(Gibson, 2016, p. 337)</w:t>
      </w:r>
      <w:r w:rsidRPr="00055D66">
        <w:rPr>
          <w:rFonts w:ascii="Calibri" w:eastAsia="MS Mincho" w:hAnsi="Calibri" w:cs="Calibri"/>
        </w:rPr>
        <w:fldChar w:fldCharType="end"/>
      </w:r>
      <w:r w:rsidRPr="00055D66">
        <w:rPr>
          <w:rFonts w:ascii="Calibri" w:eastAsia="MS Mincho" w:hAnsi="Calibri" w:cs="Calibri"/>
        </w:rPr>
        <w:t xml:space="preserve"> in service users who social workers find the most difficult to engage, with feelings of inadequacy overwhelming any desire to accept support or reach out for help. It is important to acknowledge that professionals working with young people may also experience feelings of shame, guilt and fatigue; struggling to work effectively with them. Support for professionals who provide interventions is therefore an important consideration. Issues such as empathy fatigue and burnout are often presented as issues that may result in long term sickness, high employee turn-over and ‘start again’ attitudes to work with more challenging casework. </w:t>
      </w:r>
    </w:p>
    <w:p w14:paraId="462EF039" w14:textId="77777777" w:rsidR="0079774D" w:rsidRPr="00055D66" w:rsidRDefault="0079774D" w:rsidP="0079774D">
      <w:pPr>
        <w:spacing w:line="360" w:lineRule="auto"/>
        <w:rPr>
          <w:rFonts w:ascii="Calibri" w:eastAsia="MS Mincho" w:hAnsi="Calibri" w:cs="Calibri"/>
        </w:rPr>
      </w:pPr>
    </w:p>
    <w:p w14:paraId="11C28244" w14:textId="595EEC83" w:rsidR="0079774D" w:rsidRPr="00055D66" w:rsidRDefault="00114D69" w:rsidP="0079774D">
      <w:pPr>
        <w:spacing w:line="360" w:lineRule="auto"/>
        <w:rPr>
          <w:rFonts w:ascii="Calibri" w:eastAsia="MS Mincho" w:hAnsi="Calibri" w:cs="Calibri"/>
          <w:i/>
          <w:iCs/>
        </w:rPr>
      </w:pPr>
      <w:r>
        <w:rPr>
          <w:rFonts w:ascii="Calibri" w:eastAsia="MS Mincho" w:hAnsi="Calibri" w:cs="Calibri"/>
          <w:i/>
          <w:iCs/>
        </w:rPr>
        <w:lastRenderedPageBreak/>
        <w:t xml:space="preserve">2.3.3 </w:t>
      </w:r>
      <w:r w:rsidR="0079774D" w:rsidRPr="00055D66">
        <w:rPr>
          <w:rFonts w:ascii="Calibri" w:eastAsia="MS Mincho" w:hAnsi="Calibri" w:cs="Calibri"/>
          <w:i/>
          <w:iCs/>
        </w:rPr>
        <w:t xml:space="preserve">Interventions into </w:t>
      </w:r>
      <w:r w:rsidR="00C02279">
        <w:rPr>
          <w:rFonts w:ascii="Calibri" w:eastAsia="MS Mincho" w:hAnsi="Calibri" w:cs="Calibri"/>
          <w:i/>
          <w:iCs/>
        </w:rPr>
        <w:t>intimate partner violence</w:t>
      </w:r>
      <w:r w:rsidR="0079774D" w:rsidRPr="00055D66">
        <w:rPr>
          <w:rFonts w:ascii="Calibri" w:eastAsia="MS Mincho" w:hAnsi="Calibri" w:cs="Calibri"/>
          <w:i/>
          <w:iCs/>
        </w:rPr>
        <w:t xml:space="preserve"> (</w:t>
      </w:r>
      <w:r w:rsidR="00C02279">
        <w:rPr>
          <w:rFonts w:ascii="Calibri" w:eastAsia="MS Mincho" w:hAnsi="Calibri" w:cs="Calibri"/>
          <w:i/>
          <w:iCs/>
        </w:rPr>
        <w:t>men towards women</w:t>
      </w:r>
      <w:r w:rsidR="00C02279">
        <w:rPr>
          <w:rStyle w:val="FootnoteReference"/>
          <w:rFonts w:ascii="Calibri" w:eastAsia="MS Mincho" w:hAnsi="Calibri" w:cs="Calibri"/>
          <w:i/>
          <w:iCs/>
        </w:rPr>
        <w:footnoteReference w:id="1"/>
      </w:r>
      <w:r w:rsidR="0079774D" w:rsidRPr="00055D66">
        <w:rPr>
          <w:rFonts w:ascii="Calibri" w:eastAsia="MS Mincho" w:hAnsi="Calibri" w:cs="Calibri"/>
          <w:i/>
          <w:iCs/>
        </w:rPr>
        <w:t xml:space="preserve">) </w:t>
      </w:r>
    </w:p>
    <w:p w14:paraId="6E0C3016" w14:textId="2BF2E328" w:rsidR="0079774D" w:rsidRPr="00055D66" w:rsidRDefault="00301C85" w:rsidP="0079774D">
      <w:pPr>
        <w:spacing w:line="360" w:lineRule="auto"/>
        <w:rPr>
          <w:rFonts w:ascii="Calibri" w:eastAsia="MS Mincho" w:hAnsi="Calibri" w:cs="Calibri"/>
        </w:rPr>
      </w:pPr>
      <w:r>
        <w:rPr>
          <w:rFonts w:ascii="Calibri" w:eastAsia="MS Mincho" w:hAnsi="Calibri" w:cs="Calibri"/>
        </w:rPr>
        <w:t>Violence by men towards women</w:t>
      </w:r>
      <w:r w:rsidRPr="00055D66">
        <w:rPr>
          <w:rFonts w:ascii="Calibri" w:eastAsia="MS Mincho" w:hAnsi="Calibri" w:cs="Calibri"/>
        </w:rPr>
        <w:t xml:space="preserve"> </w:t>
      </w:r>
      <w:r w:rsidR="0079774D" w:rsidRPr="00055D66">
        <w:rPr>
          <w:rFonts w:ascii="Calibri" w:eastAsia="MS Mincho" w:hAnsi="Calibri" w:cs="Calibri"/>
        </w:rPr>
        <w:t xml:space="preserve">is highlighted as a key concern in contemporary policy and public debate in relation to the ‘problem’ with young men. Therefore, the effectiveness of interventions into intimate partner violence (IPV) ﻿and sexual violence (SV) are widely discussed in the literature. Results from a two year ethnographic study with 49 adult men </w:t>
      </w:r>
      <w:r w:rsidR="0079774D" w:rsidRPr="00055D66">
        <w:rPr>
          <w:rFonts w:ascii="Calibri" w:eastAsia="MS Mincho" w:hAnsi="Calibri" w:cs="Calibri"/>
        </w:rPr>
        <w:fldChar w:fldCharType="begin" w:fldLock="1"/>
      </w:r>
      <w:r w:rsidR="0079774D" w:rsidRPr="00055D66">
        <w:rPr>
          <w:rFonts w:ascii="Calibri" w:eastAsia="MS Mincho" w:hAnsi="Calibri" w:cs="Calibri"/>
        </w:rPr>
        <w:instrText>ADDIN CSL_CITATION {"citationItems":[{"id":"ITEM-1","itemData":{"DOI":"10.1080/10926771.2017.1320346","ISSN":"1545083X","abstract":"As part of a 2-year ethnographic study, 49 adult men who had been convicted of intimate partner violence (IPV) perpetration were interviewed on what they thought would have prevented them from engaging in perpetration behaviors, or rather what they believed prevention with young boys needed to include in order to prevent future IPV perpetration. The authors’ open-ended interviews yielded five main themes: (a) messages about healthy relationship behaviors, (b) the need to promote respect for women, (c) teaching effective skills for communicating and managing anger, (d) programs that provide role models and are school-based, and (e) addressing the impact of experiencing violence as a child. The authors conclude that prevention efforts focused on changing both attitudes regarding IPV and behaviors might be most effective for reducing perpetration, and that greater attention needs to be paid towards prevention among youth most at risk of IPV perpetration, those experiencing violence in their homes.","author":[{"dropping-particle":"","family":"Morrison","given":"Penelope K.","non-dropping-particle":"","parse-names":false,"suffix":""},{"dropping-particle":"","family":"Miller","given":"Elizabeth P.","non-dropping-particle":"","parse-names":false,"suffix":""},{"dropping-particle":"","family":"Burke","given":"Jessica","non-dropping-particle":"","parse-names":false,"suffix":""},{"dropping-particle":"","family":"Cluss","given":"Patricia","non-dropping-particle":"","parse-names":false,"suffix":""},{"dropping-particle":"","family":"Fleming","given":"Rhonda","non-dropping-particle":"","parse-names":false,"suffix":""},{"dropping-particle":"","family":"Hawker","given":"Lynn","non-dropping-particle":"","parse-names":false,"suffix":""},{"dropping-particle":"","family":"George","given":"Donna","non-dropping-particle":"","parse-names":false,"suffix":""},{"dropping-particle":"","family":"Bicehouse","given":"Terry","non-dropping-particle":"","parse-names":false,"suffix":""},{"dropping-particle":"","family":"Wright","given":"Kalem","non-dropping-particle":"","parse-names":false,"suffix":""},{"dropping-particle":"","family":"Chang","given":"Judy C.","non-dropping-particle":"","parse-names":false,"suffix":""}],"container-title":"Journal of Aggression, Maltreatment and Trauma","id":"ITEM-1","issue":"2","issued":{"date-parts":[["2018"]]},"page":"179-198","publisher":"Routledge","title":"Adult Male Perpetrators’ Perspectives on What Prevention Approaches Work Best for Young Boys at Risk of Future Intimate Partner Violence Perpetration","type":"article-journal","volume":"27"},"uris":["http://www.mendeley.com/documents/?uuid=d5f617b5-69ab-4ff5-82e5-02e2e30ebc7e"]}],"mendeley":{"formattedCitation":"(Morrison &lt;i&gt;et al.&lt;/i&gt;, 2018)","plainTextFormattedCitation":"(Morrison et al., 2018)","previouslyFormattedCitation":"(Morrison &lt;i&gt;et al.&lt;/i&gt;, 2018)"},"properties":{"noteIndex":0},"schema":"https://github.com/citation-style-language/schema/raw/master/csl-citation.json"}</w:instrText>
      </w:r>
      <w:r w:rsidR="0079774D" w:rsidRPr="00055D66">
        <w:rPr>
          <w:rFonts w:ascii="Calibri" w:eastAsia="MS Mincho" w:hAnsi="Calibri" w:cs="Calibri"/>
        </w:rPr>
        <w:fldChar w:fldCharType="separate"/>
      </w:r>
      <w:r w:rsidR="0079774D" w:rsidRPr="00055D66">
        <w:rPr>
          <w:rFonts w:ascii="Calibri" w:eastAsia="MS Mincho" w:hAnsi="Calibri" w:cs="Calibri"/>
          <w:noProof/>
        </w:rPr>
        <w:t xml:space="preserve">(Morrison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0079774D" w:rsidRPr="00055D66">
        <w:rPr>
          <w:rFonts w:ascii="Calibri" w:eastAsia="MS Mincho" w:hAnsi="Calibri" w:cs="Calibri"/>
          <w:noProof/>
        </w:rPr>
        <w:t>2018)</w:t>
      </w:r>
      <w:r w:rsidR="0079774D" w:rsidRPr="00055D66">
        <w:rPr>
          <w:rFonts w:ascii="Calibri" w:eastAsia="MS Mincho" w:hAnsi="Calibri" w:cs="Calibri"/>
        </w:rPr>
        <w:fldChar w:fldCharType="end"/>
      </w:r>
      <w:r w:rsidR="0079774D" w:rsidRPr="00055D66">
        <w:rPr>
          <w:rFonts w:ascii="Calibri" w:eastAsia="MS Mincho" w:hAnsi="Calibri" w:cs="Calibri"/>
        </w:rPr>
        <w:t xml:space="preserve"> who had been convicted of IPV interviewed on what they believed prevention with young boys needed to include in order to prevent future IPV perpetration yielded five main thematic categories: (a) messages about healthy relationship </w:t>
      </w:r>
      <w:r w:rsidRPr="00055D66">
        <w:rPr>
          <w:rFonts w:ascii="Calibri" w:eastAsia="MS Mincho" w:hAnsi="Calibri" w:cs="Calibri"/>
        </w:rPr>
        <w:t>behaviours</w:t>
      </w:r>
      <w:r w:rsidR="0079774D" w:rsidRPr="00055D66">
        <w:rPr>
          <w:rFonts w:ascii="Calibri" w:eastAsia="MS Mincho" w:hAnsi="Calibri" w:cs="Calibri"/>
        </w:rPr>
        <w:t xml:space="preserve">; (b) the need to promote respect for women; (c) teaching effective skills for communicating and managing anger; (d) programs that provide mentorship and are situated within education; and </w:t>
      </w:r>
      <w:r>
        <w:rPr>
          <w:rFonts w:ascii="Calibri" w:eastAsia="MS Mincho" w:hAnsi="Calibri" w:cs="Calibri"/>
        </w:rPr>
        <w:t>I</w:t>
      </w:r>
      <w:r w:rsidR="0079774D" w:rsidRPr="00055D66">
        <w:rPr>
          <w:rFonts w:ascii="Calibri" w:eastAsia="MS Mincho" w:hAnsi="Calibri" w:cs="Calibri"/>
        </w:rPr>
        <w:t xml:space="preserve"> addressing the impact of witnessing and experiencing violence victimization as a child. One of the key messages from the research is enabling young men to understand that ﻿‘control is a form of abuse’ </w:t>
      </w:r>
      <w:r w:rsidR="0079774D" w:rsidRPr="00055D66">
        <w:rPr>
          <w:rFonts w:ascii="Calibri" w:eastAsia="MS Mincho" w:hAnsi="Calibri" w:cs="Calibri"/>
        </w:rPr>
        <w:fldChar w:fldCharType="begin" w:fldLock="1"/>
      </w:r>
      <w:r w:rsidR="0079774D" w:rsidRPr="00055D66">
        <w:rPr>
          <w:rFonts w:ascii="Calibri" w:eastAsia="MS Mincho" w:hAnsi="Calibri" w:cs="Calibri"/>
        </w:rPr>
        <w:instrText>ADDIN CSL_CITATION {"citationItems":[{"id":"ITEM-1","itemData":{"DOI":"10.1080/10926771.2017.1320346","ISSN":"1545083X","abstract":"As part of a 2-year ethnographic study, 49 adult men who had been convicted of intimate partner violence (IPV) perpetration were interviewed on what they thought would have prevented them from engaging in perpetration behaviors, or rather what they believed prevention with young boys needed to include in order to prevent future IPV perpetration. The authors’ open-ended interviews yielded five main themes: (a) messages about healthy relationship behaviors, (b) the need to promote respect for women, (c) teaching effective skills for communicating and managing anger, (d) programs that provide role models and are school-based, and (e) addressing the impact of experiencing violence as a child. The authors conclude that prevention efforts focused on changing both attitudes regarding IPV and behaviors might be most effective for reducing perpetration, and that greater attention needs to be paid towards prevention among youth most at risk of IPV perpetration, those experiencing violence in their homes.","author":[{"dropping-particle":"","family":"Morrison","given":"Penelope K.","non-dropping-particle":"","parse-names":false,"suffix":""},{"dropping-particle":"","family":"Miller","given":"Elizabeth P.","non-dropping-particle":"","parse-names":false,"suffix":""},{"dropping-particle":"","family":"Burke","given":"Jessica","non-dropping-particle":"","parse-names":false,"suffix":""},{"dropping-particle":"","family":"Cluss","given":"Patricia","non-dropping-particle":"","parse-names":false,"suffix":""},{"dropping-particle":"","family":"Fleming","given":"Rhonda","non-dropping-particle":"","parse-names":false,"suffix":""},{"dropping-particle":"","family":"Hawker","given":"Lynn","non-dropping-particle":"","parse-names":false,"suffix":""},{"dropping-particle":"","family":"George","given":"Donna","non-dropping-particle":"","parse-names":false,"suffix":""},{"dropping-particle":"","family":"Bicehouse","given":"Terry","non-dropping-particle":"","parse-names":false,"suffix":""},{"dropping-particle":"","family":"Wright","given":"Kalem","non-dropping-particle":"","parse-names":false,"suffix":""},{"dropping-particle":"","family":"Chang","given":"Judy C.","non-dropping-particle":"","parse-names":false,"suffix":""}],"container-title":"Journal of Aggression, Maltreatment and Trauma","id":"ITEM-1","issue":"2","issued":{"date-parts":[["2018"]]},"page":"179-198","publisher":"Routledge","title":"Adult Male Perpetrators’ Perspectives on What Prevention Approaches Work Best for Young Boys at Risk of Future Intimate Partner Violence Perpetration","type":"article-journal","volume":"27"},"locator":"183","uris":["http://www.mendeley.com/documents/?uuid=d5f617b5-69ab-4ff5-82e5-02e2e30ebc7e"]}],"mendeley":{"formattedCitation":"(Morrison &lt;i&gt;et al.&lt;/i&gt;, 2018, p. 183)","manualFormatting":"(Morrison et al. 2018, p.184)","plainTextFormattedCitation":"(Morrison et al., 2018, p. 183)","previouslyFormattedCitation":"(Morrison &lt;i&gt;et al.&lt;/i&gt;, 2018, p. 183)"},"properties":{"noteIndex":0},"schema":"https://github.com/citation-style-language/schema/raw/master/csl-citation.json"}</w:instrText>
      </w:r>
      <w:r w:rsidR="0079774D" w:rsidRPr="00055D66">
        <w:rPr>
          <w:rFonts w:ascii="Calibri" w:eastAsia="MS Mincho" w:hAnsi="Calibri" w:cs="Calibri"/>
        </w:rPr>
        <w:fldChar w:fldCharType="separate"/>
      </w:r>
      <w:r w:rsidR="0079774D" w:rsidRPr="00055D66">
        <w:rPr>
          <w:rFonts w:ascii="Calibri" w:eastAsia="MS Mincho" w:hAnsi="Calibri" w:cs="Calibri"/>
          <w:noProof/>
        </w:rPr>
        <w:t xml:space="preserve">(Morrison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sidR="0079774D" w:rsidRPr="00055D66">
        <w:rPr>
          <w:rFonts w:ascii="Calibri" w:eastAsia="MS Mincho" w:hAnsi="Calibri" w:cs="Calibri"/>
          <w:noProof/>
        </w:rPr>
        <w:t xml:space="preserve"> 2018, p.184)</w:t>
      </w:r>
      <w:r w:rsidR="0079774D" w:rsidRPr="00055D66">
        <w:rPr>
          <w:rFonts w:ascii="Calibri" w:eastAsia="MS Mincho" w:hAnsi="Calibri" w:cs="Calibri"/>
        </w:rPr>
        <w:fldChar w:fldCharType="end"/>
      </w:r>
      <w:r w:rsidR="0079774D" w:rsidRPr="00055D66">
        <w:rPr>
          <w:rFonts w:ascii="Calibri" w:eastAsia="MS Mincho" w:hAnsi="Calibri" w:cs="Calibri"/>
        </w:rPr>
        <w:t xml:space="preserve"> and therefore not a healthy aspect of a relationship. ﻿Highly romanticised notions of how relationships work portrayed by the media are also unhelpful ﻿as they contribute to distorted view on intimate partner relationships. </w:t>
      </w:r>
    </w:p>
    <w:p w14:paraId="649D9D79" w14:textId="77777777" w:rsidR="0079774D" w:rsidRPr="00055D66" w:rsidRDefault="0079774D" w:rsidP="0079774D">
      <w:pPr>
        <w:spacing w:line="360" w:lineRule="auto"/>
        <w:rPr>
          <w:rFonts w:ascii="Calibri" w:eastAsia="MS Mincho" w:hAnsi="Calibri" w:cs="Calibri"/>
        </w:rPr>
      </w:pPr>
    </w:p>
    <w:p w14:paraId="102982D5" w14:textId="67DA8344"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In relation to addressing concerns about IPV and SV, Brighton and Hove </w:t>
      </w:r>
      <w:proofErr w:type="gramStart"/>
      <w:r w:rsidRPr="00055D66">
        <w:rPr>
          <w:rFonts w:ascii="Calibri" w:eastAsia="MS Mincho" w:hAnsi="Calibri" w:cs="Calibri"/>
        </w:rPr>
        <w:t>provides</w:t>
      </w:r>
      <w:proofErr w:type="gramEnd"/>
      <w:r w:rsidRPr="00055D66">
        <w:rPr>
          <w:rFonts w:ascii="Calibri" w:eastAsia="MS Mincho" w:hAnsi="Calibri" w:cs="Calibri"/>
        </w:rPr>
        <w:t xml:space="preserve"> a 27-week group </w:t>
      </w:r>
      <w:r w:rsidRPr="00055D66">
        <w:rPr>
          <w:rFonts w:ascii="Calibri" w:eastAsia="MS Mincho" w:hAnsi="Calibri" w:cs="Calibri"/>
          <w:i/>
          <w:iCs/>
        </w:rPr>
        <w:t>Living Without Violence</w:t>
      </w:r>
      <w:r w:rsidRPr="00055D66">
        <w:rPr>
          <w:rFonts w:ascii="Calibri" w:eastAsia="MS Mincho" w:hAnsi="Calibri" w:cs="Calibri"/>
        </w:rPr>
        <w:t xml:space="preserve"> programme for adult men to address their abusive behaviours in their relationships alongside an integrated women’s service providing support for (ex)partners. The group programme works to a curriculum which includes: raising awareness of what is domestic violence and abuse, impact of domestic violence on children and fathering, gender roles and male identity, patterns of power and control vs relating with equality and respect, use of self-talk to manage stress and contain anger, emotional literacy and enhancing skills for healthy relationships. </w:t>
      </w:r>
    </w:p>
    <w:p w14:paraId="238CEF56" w14:textId="3A316ED3"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lastRenderedPageBreak/>
        <w:t xml:space="preserve">A review of 61 ﻿documented ‘interventions that address risk and protective factors for adolescent IPV or SV’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{"citationItems":[{"id":"ITEM-1","itemData":{"DOI":"10.1016/j.jadohealth.2014.08.012","ISBN":"1054-139X","ISSN":"18791972","PMID":"25528978","abstract":"Intimate partner violence (IPV) and sexual violence (SV) are widespread among adolescents and place them on a lifelong trajectory of violence, either as victims or perpetrators. The aim of this review was to identify effective approaches to prevent adolescent IPV and SV and to identify critical knowledge gaps. The interventions reviewed in this article reflect the global focus on interventions addressing violence perpetrated by men against women in the context of heterosexual relationships. Interventions for girls and boys (10-19 years) were identified through electronic searches for peer-reviewed and gray literature such as reports and research briefs. Studies were excluded if they were published before 1990 or did not disaggregate participants and results by age. Programs were classified as \"effective,\" \"emerging,\" \"ineffective,\" or \"unclear\" based on the strength of evidence, generalizability of results to developing country settings, and replication beyond the initial pilot. Programs were considered \"effective\" if they were evaluated with well-designed studies, which controlled for threats to validity through randomization of participants. A review of 142 articles and documents yielded 61 interventions, which aimed to prevent IPV and SV among adolescents. These were categorized as \"parenting\" (n = 8), \"targeted interventions for children and adolescents subjected to maltreatment\" (n = 3), \"school based\" (n = 31; including 10 interventions to prevent sexual assault among university students), \"community based\" (n = 16), and \"economic empowerment\" (n = 2). The rigor of the evaluations varies greatly. A good number have relatively weak research designs, short follow-up periods, and low or unreported retention rates. Overall, there is a lack of robust standardized measures for behavioral outcomes. Three promising approaches emerge. First, school-based dating violence interventions show considerable success. However, they have only been implemented in high-income countries and should be adapted and evaluated in other settings. Second, community-based interventions to form gender equitable attitudes among boys and girls have successfully prevented IPV or SV. Third, evidence suggests that parenting interventions and interventions with children and adolescents subjected to maltreatment hold promise in preventing IPV or SV by addressing child maltreatment, which is a risk factor for later perpetration or experience of IPV or SV. Results suggest that programs…","author":[{"dropping-particle":"","family":"Lundgren","given":"Rebecka","non-dropping-particle":"","parse-names":false,"suffix":""},{"dropping-particle":"","family":"Amin","given":"Avni","non-dropping-particle":"","parse-names":false,"suffix":""}],"container-title":"Journal of Adolescent Health","id":"ITEM-1","issue":"1","issued":{"date-parts":[["2015"]]},"page":"S42-S50","publisher":"Elsevier Inc.","title":"Addressing intimate partner violence and sexual violence among adolescents: Emerging evidence of effectiveness","type":"article-journal","volume":"56"},"locator":"44","uris":["http://www.mendeley.com/documents/?uuid=039bf644-7c03-4e59-9624-6968386c9831"]}],"mendeley":{"formattedCitation":"(Lundgren and Amin, 2015, p. 44)","plainTextFormattedCitation":"(Lundgren and Amin, 2015, p. 44)","previouslyFormattedCitation":"(Lundgren and Amin, 2015, p. 44)"},"properties":{"noteIndex":0},"schema":"https://github.com/citation-style-language/schema/raw/master/csl-citation.json"}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(Lundgren and Amin, 2015, p. 44)</w:t>
      </w:r>
      <w:r w:rsidRPr="00055D66">
        <w:rPr>
          <w:rFonts w:ascii="Calibri" w:eastAsia="MS Mincho" w:hAnsi="Calibri" w:cs="Calibri"/>
        </w:rPr>
        <w:fldChar w:fldCharType="end"/>
      </w:r>
      <w:r w:rsidRPr="00055D66">
        <w:rPr>
          <w:rFonts w:ascii="Calibri" w:eastAsia="MS Mincho" w:hAnsi="Calibri" w:cs="Calibri"/>
        </w:rPr>
        <w:t xml:space="preserve"> was carried out in order to identify effective approaches to prevent adolescent IPV and SV and to identify critical knowledge gaps. Interventions relating to girls/young women and boys/young men (10-19 years) were identified through electronic searches for peer-reviewed and grey literature such as reports and research briefs. The authors noted that overall, ‘robust standardised measures for </w:t>
      </w:r>
      <w:r w:rsidR="00301C85" w:rsidRPr="00055D66">
        <w:rPr>
          <w:rFonts w:ascii="Calibri" w:eastAsia="MS Mincho" w:hAnsi="Calibri" w:cs="Calibri"/>
        </w:rPr>
        <w:t>behavioural</w:t>
      </w:r>
      <w:r w:rsidRPr="00055D66">
        <w:rPr>
          <w:rFonts w:ascii="Calibri" w:eastAsia="MS Mincho" w:hAnsi="Calibri" w:cs="Calibri"/>
        </w:rPr>
        <w:t xml:space="preserve"> outcomes’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{"citationItems":[{"id":"ITEM-1","itemData":{"DOI":"10.1016/j.jadohealth.2014.08.012","ISBN":"1054-139X","ISSN":"18791972","PMID":"25528978","abstract":"Intimate partner violence (IPV) and sexual violence (SV) are widespread among adolescents and place them on a lifelong trajectory of violence, either as victims or perpetrators. The aim of this review was to identify effective approaches to prevent adolescent IPV and SV and to identify critical knowledge gaps. The interventions reviewed in this article reflect the global focus on interventions addressing violence perpetrated by men against women in the context of heterosexual relationships. Interventions for girls and boys (10-19 years) were identified through electronic searches for peer-reviewed and gray literature such as reports and research briefs. Studies were excluded if they were published before 1990 or did not disaggregate participants and results by age. Programs were classified as \"effective,\" \"emerging,\" \"ineffective,\" or \"unclear\" based on the strength of evidence, generalizability of results to developing country settings, and replication beyond the initial pilot. Programs were considered \"effective\" if they were evaluated with well-designed studies, which controlled for threats to validity through randomization of participants. A review of 142 articles and documents yielded 61 interventions, which aimed to prevent IPV and SV among adolescents. These were categorized as \"parenting\" (n = 8), \"targeted interventions for children and adolescents subjected to maltreatment\" (n = 3), \"school based\" (n = 31; including 10 interventions to prevent sexual assault among university students), \"community based\" (n = 16), and \"economic empowerment\" (n = 2). The rigor of the evaluations varies greatly. A good number have relatively weak research designs, short follow-up periods, and low or unreported retention rates. Overall, there is a lack of robust standardized measures for behavioral outcomes. Three promising approaches emerge. First, school-based dating violence interventions show considerable success. However, they have only been implemented in high-income countries and should be adapted and evaluated in other settings. Second, community-based interventions to form gender equitable attitudes among boys and girls have successfully prevented IPV or SV. Third, evidence suggests that parenting interventions and interventions with children and adolescents subjected to maltreatment hold promise in preventing IPV or SV by addressing child maltreatment, which is a risk factor for later perpetration or experience of IPV or SV. Results suggest that programs…","author":[{"dropping-particle":"","family":"Lundgren","given":"Rebecka","non-dropping-particle":"","parse-names":false,"suffix":""},{"dropping-particle":"","family":"Amin","given":"Avni","non-dropping-particle":"","parse-names":false,"suffix":""}],"container-title":"Journal of Adolescent Health","id":"ITEM-1","issue":"1","issued":{"date-parts":[["2015"]]},"page":"S42-S50","publisher":"Elsevier Inc.","title":"Addressing intimate partner violence and sexual violence among adolescents: Emerging evidence of effectiveness","type":"article-journal","volume":"56"},"locator":"44","uris":["http://www.mendeley.com/documents/?uuid=039bf644-7c03-4e59-9624-6968386c9831"]}],"mendeley":{"formattedCitation":"(Lundgren and Amin, 2015, p. 44)","plainTextFormattedCitation":"(Lundgren and Amin, 2015, p. 44)","previouslyFormattedCitation":"(Lundgren and Amin, 2015, p. 44)"},"properties":{"noteIndex":0},"schema":"https://github.com/citation-style-language/schema/raw/master/csl-citation.json"}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(Lundgren and Amin, 2015, p. 44)</w:t>
      </w:r>
      <w:r w:rsidRPr="00055D66">
        <w:rPr>
          <w:rFonts w:ascii="Calibri" w:eastAsia="MS Mincho" w:hAnsi="Calibri" w:cs="Calibri"/>
        </w:rPr>
        <w:fldChar w:fldCharType="end"/>
      </w:r>
      <w:r w:rsidRPr="00055D66">
        <w:rPr>
          <w:rFonts w:ascii="Calibri" w:eastAsia="MS Mincho" w:hAnsi="Calibri" w:cs="Calibri"/>
        </w:rPr>
        <w:t xml:space="preserve"> was lacking in the material they reviewed. However, considerable success was shown in school-based dating violence interventions. Community-based interventions to form gender equitable attitudes among boys and girls were indicated to successfully prevent IPV or SV. Child maltreatment is considered to be a risk factor for later perpetration or experience of IPV or SV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{"citationItems":[{"id":"ITEM-1","itemData":{"DOI":"10.1016/j.jadohealth.2014.08.012","ISBN":"1054-139X","ISSN":"18791972","PMID":"25528978","abstract":"Intimate partner violence (IPV) and sexual violence (SV) are widespread among adolescents and place them on a lifelong trajectory of violence, either as victims or perpetrators. The aim of this review was to identify effective approaches to prevent adolescent IPV and SV and to identify critical knowledge gaps. The interventions reviewed in this article reflect the global focus on interventions addressing violence perpetrated by men against women in the context of heterosexual relationships. Interventions for girls and boys (10-19 years) were identified through electronic searches for peer-reviewed and gray literature such as reports and research briefs. Studies were excluded if they were published before 1990 or did not disaggregate participants and results by age. Programs were classified as \"effective,\" \"emerging,\" \"ineffective,\" or \"unclear\" based on the strength of evidence, generalizability of results to developing country settings, and replication beyond the initial pilot. Programs were considered \"effective\" if they were evaluated with well-designed studies, which controlled for threats to validity through randomization of participants. A review of 142 articles and documents yielded 61 interventions, which aimed to prevent IPV and SV among adolescents. These were categorized as \"parenting\" (n = 8), \"targeted interventions for children and adolescents subjected to maltreatment\" (n = 3), \"school based\" (n = 31; including 10 interventions to prevent sexual assault among university students), \"community based\" (n = 16), and \"economic empowerment\" (n = 2). The rigor of the evaluations varies greatly. A good number have relatively weak research designs, short follow-up periods, and low or unreported retention rates. Overall, there is a lack of robust standardized measures for behavioral outcomes. Three promising approaches emerge. First, school-based dating violence interventions show considerable success. However, they have only been implemented in high-income countries and should be adapted and evaluated in other settings. Second, community-based interventions to form gender equitable attitudes among boys and girls have successfully prevented IPV or SV. Third, evidence suggests that parenting interventions and interventions with children and adolescents subjected to maltreatment hold promise in preventing IPV or SV by addressing child maltreatment, which is a risk factor for later perpetration or experience of IPV or SV. Results suggest that programs…","author":[{"dropping-particle":"","family":"Lundgren","given":"Rebecka","non-dropping-particle":"","parse-names":false,"suffix":""},{"dropping-particle":"","family":"Amin","given":"Avni","non-dropping-particle":"","parse-names":false,"suffix":""}],"container-title":"Journal of Adolescent Health","id":"ITEM-1","issue":"1","issued":{"date-parts":[["2015"]]},"page":"S42-S50","publisher":"Elsevier Inc.","title":"Addressing intimate partner violence and sexual violence among adolescents: Emerging evidence of effectiveness","type":"article-journal","volume":"56"},"uris":["http://www.mendeley.com/documents/?uuid=039bf644-7c03-4e59-9624-6968386c9831"]}],"mendeley":{"formattedCitation":"(Lundgren and Amin, 2015)","plainTextFormattedCitation":"(Lundgren and Amin, 2015)","previouslyFormattedCitation":"(Lundgren and Amin, 2015)"},"properties":{"noteIndex":0},"schema":"https://github.com/citation-style-language/schema/raw/master/csl-citation.json"}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(Lundgren and Amin, 2015)</w:t>
      </w:r>
      <w:r w:rsidRPr="00055D66">
        <w:rPr>
          <w:rFonts w:ascii="Calibri" w:eastAsia="MS Mincho" w:hAnsi="Calibri" w:cs="Calibri"/>
        </w:rPr>
        <w:fldChar w:fldCharType="end"/>
      </w:r>
      <w:r w:rsidRPr="00055D66">
        <w:rPr>
          <w:rFonts w:ascii="Calibri" w:eastAsia="MS Mincho" w:hAnsi="Calibri" w:cs="Calibri"/>
        </w:rPr>
        <w:t>. Evidence in the review suggested that parenting interventions and interventions with children and adolescents who were subjected to maltreatment can prevent IPV or SV occurring. Overall, the study indicated that programmes with longer term investments and repeated exposure to ideas delivered in different settings over time have better results than single awareness-raising or discussion sessions.</w:t>
      </w:r>
    </w:p>
    <w:p w14:paraId="70C6746E" w14:textId="77777777" w:rsidR="0079774D" w:rsidRPr="00055D66" w:rsidRDefault="0079774D" w:rsidP="0079774D">
      <w:pPr>
        <w:spacing w:line="360" w:lineRule="auto"/>
        <w:rPr>
          <w:rFonts w:ascii="Calibri" w:eastAsia="MS Mincho" w:hAnsi="Calibri" w:cs="Calibri"/>
        </w:rPr>
      </w:pPr>
    </w:p>
    <w:p w14:paraId="086D9707" w14:textId="4AC91B33" w:rsidR="0079774D" w:rsidRPr="00055D66" w:rsidRDefault="0079774D" w:rsidP="260A14CD">
      <w:pPr>
        <w:spacing w:line="360" w:lineRule="auto"/>
        <w:rPr>
          <w:rFonts w:ascii="Calibri" w:eastAsia="MS Mincho" w:hAnsi="Calibri" w:cs="Calibri"/>
          <w:i/>
          <w:iCs/>
        </w:rPr>
      </w:pPr>
      <w:r w:rsidRPr="260A14CD">
        <w:rPr>
          <w:rFonts w:ascii="Calibri" w:eastAsia="MS Mincho" w:hAnsi="Calibri" w:cs="Calibri"/>
          <w:i/>
          <w:iCs/>
        </w:rPr>
        <w:t>2.3.</w:t>
      </w:r>
      <w:r w:rsidR="00114D69">
        <w:rPr>
          <w:rFonts w:ascii="Calibri" w:eastAsia="MS Mincho" w:hAnsi="Calibri" w:cs="Calibri"/>
          <w:i/>
          <w:iCs/>
        </w:rPr>
        <w:t>4</w:t>
      </w:r>
      <w:r w:rsidRPr="260A14CD">
        <w:rPr>
          <w:rFonts w:ascii="Calibri" w:eastAsia="MS Mincho" w:hAnsi="Calibri" w:cs="Calibri"/>
          <w:i/>
          <w:iCs/>
        </w:rPr>
        <w:t xml:space="preserve"> Gendered interventions</w:t>
      </w:r>
    </w:p>
    <w:p w14:paraId="6F478CC8" w14:textId="6F781A68"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The way in which interventions are delivered and by whom are consistently highlighted as key considerations (e.g.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{"citationItems":[{"id":"ITEM-1","itemData":{"DOI":"10.1177/1440783316667638","ISBN":"1440783316667","ISSN":"17412978","abstract":"© 2016, © The Author(s) 2016. Increasingly in international research and popular media a growing interest in men and fatherhood is discernible. These changes occur as other aspects of the socio-economic world shift, necessitating the need to re-address how caring and paid work responsibilities are configured and practised. However, interest in men’s experiences as fathers has emerged in ways which reflect cultural assumptions and practices associated with dominant understandings of masculinities. Consequently, research on and evidence of changing behaviours has been culturally and geographically uneven. In this paper, two qualitative studies are drawn upon to examine how men living in Australia and the UK engage in/narrate experiences of preparation for first-time fatherhood. These studies compare men’s in-depth accounts of preparing for first-time fatherhood in cultures where understandings of masculinities overlap, but where differences are also discernible. The findings illuminate the ways in which biology, gender, temporality and histories of masculinities frame men’s preparation activities and service provision.","author":[{"dropping-particle":"","family":"Miller","given":"Tina","non-dropping-particle":"","parse-names":false,"suffix":""},{"dropping-particle":"","family":"Nash","given":"Meredith","non-dropping-particle":"","parse-names":false,"suffix":""}],"container-title":"Journal of Sociology","id":"ITEM-1","issue":"3","issued":{"date-parts":[["2017"]]},"page":"541-556","title":"‘I just think something like the “Bubs and Pubs” class is what men should be having’: Paternal subjectivities and preparing for first-time fatherhood in Australia and the United Kingdom","type":"article-journal","volume":"53"},"uris":["http://www.mendeley.com/documents/?uuid=3c00951c-38d3-4b7b-8c2c-5ec9c584effb"]}],"mendeley":{"formattedCitation":"(Miller and Nash, 2017)","manualFormatting":"Miller &amp; Nash 2017; Haslam et al. 2018)","plainTextFormattedCitation":"(Miller and Nash, 2017)","previouslyFormattedCitation":"(Miller and Nash, 2017)"},"properties":{"noteIndex":0},"schema":"https://github.com/citation-style-language/schema/raw/master/csl-citation.json"}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Miller</w:t>
      </w:r>
      <w:r w:rsidR="00165A99" w:rsidRPr="088F2921">
        <w:rPr>
          <w:rFonts w:ascii="Calibri" w:eastAsia="MS Mincho" w:hAnsi="Calibri" w:cs="Calibri"/>
          <w:noProof/>
        </w:rPr>
        <w:t xml:space="preserve"> and </w:t>
      </w:r>
      <w:r w:rsidRPr="088F2921">
        <w:rPr>
          <w:rFonts w:ascii="Calibri" w:eastAsia="MS Mincho" w:hAnsi="Calibri" w:cs="Calibri"/>
          <w:noProof/>
        </w:rPr>
        <w:t xml:space="preserve">Nash 2017; Haslam </w:t>
      </w:r>
      <w:r w:rsidR="0080697E" w:rsidRPr="0080697E">
        <w:rPr>
          <w:rFonts w:ascii="Calibri" w:eastAsia="MS Mincho" w:hAnsi="Calibri" w:cs="Calibri"/>
          <w:i/>
          <w:iCs/>
          <w:noProof/>
        </w:rPr>
        <w:t>et al.</w:t>
      </w:r>
      <w:r w:rsidR="0080697E">
        <w:rPr>
          <w:rFonts w:ascii="Calibri" w:eastAsia="MS Mincho" w:hAnsi="Calibri" w:cs="Calibri"/>
          <w:noProof/>
        </w:rPr>
        <w:t>,</w:t>
      </w:r>
      <w:r w:rsidRPr="088F2921">
        <w:rPr>
          <w:rFonts w:ascii="Calibri" w:eastAsia="MS Mincho" w:hAnsi="Calibri" w:cs="Calibri"/>
          <w:noProof/>
        </w:rPr>
        <w:t xml:space="preserve"> 2018)</w:t>
      </w:r>
      <w:r w:rsidRPr="088F2921">
        <w:rPr>
          <w:rFonts w:ascii="Calibri" w:eastAsia="MS Mincho" w:hAnsi="Calibri" w:cs="Calibri"/>
        </w:rPr>
        <w:fldChar w:fldCharType="end"/>
      </w:r>
      <w:r w:rsidRPr="088F2921">
        <w:rPr>
          <w:rFonts w:ascii="Calibri" w:eastAsia="MS Mincho" w:hAnsi="Calibri" w:cs="Calibri"/>
        </w:rPr>
        <w:t xml:space="preserve">. In a US study about learning from risk–reduction intervention around HIV prevention amongst men who have sex with men and women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{"citationItems":[{"id":"ITEM-1","itemData":{"DOI":"10.2105/AJPH.2008.140558","ISBN":"0090-0036","ISSN":"00900036","abstract":"Few HIV prevention interventions have been developed for African American men who have sex with men or who have sex with both men and women. Many interventions neglect the historical, structural or institutional, and sociocultural factors that hinder or support risk reduction in this high-risk group. We examined ways to incorporate these factors into Men of African American Legacy Empowering Self, a culturally congruent HIV intervention targeting African American men who have sex with men and women. We also studied how to apply key elements from successful interventions to future efforts. These elements include having gender specificity, a target population, a theoretical foundation, cultural and historical congruence, skill-building components, and well-defined goals.","author":[{"dropping-particle":"","family":"Williams","given":"John K.","non-dropping-particle":"","parse-names":false,"suffix":""},{"dropping-particle":"","family":"Ramamurthi","given":"Hema C.","non-dropping-particle":"","parse-names":false,"suffix":""},{"dropping-particle":"","family":"Manago","given":"Cleo","non-dropping-particle":"","parse-names":false,"suffix":""},{"dropping-particle":"","family":"Harawa","given":"Nina T.","non-dropping-particle":"","parse-names":false,"suffix":""}],"container-title":"American Journal of Public Health","id":"ITEM-1","issue":"6","issued":{"date-parts":[["2009"]]},"page":"1008-1012","title":"Learning from successful interventions: A culturally congruent HIV risk - Reduction intervention for African American men who have sex with men and women","type":"article-journal","volume":"99"},"uris":["http://www.mendeley.com/documents/?uuid=f6b40032-24f6-4824-abce-3860a5faa0c9"]}],"mendeley":{"formattedCitation":"(Williams &lt;i&gt;et al.&lt;/i&gt;, 2009)","plainTextFormattedCitation":"(Williams et al., 2009)","previouslyFormattedCitation":"(Williams &lt;i&gt;et al.&lt;/i&gt;, 2009)"},"properties":{"noteIndex":0},"schema":"https://github.com/citation-style-language/schema/raw/master/csl-citation.json"}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(Williams </w:t>
      </w:r>
      <w:r w:rsidR="0080697E" w:rsidRPr="0080697E">
        <w:rPr>
          <w:rFonts w:ascii="Calibri" w:eastAsia="MS Mincho" w:hAnsi="Calibri" w:cs="Calibri"/>
          <w:i/>
          <w:iCs/>
          <w:noProof/>
        </w:rPr>
        <w:t>et al</w:t>
      </w:r>
      <w:r w:rsidRPr="088F2921">
        <w:rPr>
          <w:rFonts w:ascii="Calibri" w:eastAsia="MS Mincho" w:hAnsi="Calibri" w:cs="Calibri"/>
          <w:noProof/>
        </w:rPr>
        <w:t>., 2009)</w:t>
      </w:r>
      <w:r w:rsidRPr="088F2921">
        <w:rPr>
          <w:rFonts w:ascii="Calibri" w:eastAsia="MS Mincho" w:hAnsi="Calibri" w:cs="Calibri"/>
        </w:rPr>
        <w:fldChar w:fldCharType="end"/>
      </w:r>
      <w:r w:rsidRPr="088F2921">
        <w:rPr>
          <w:rFonts w:ascii="Calibri" w:eastAsia="MS Mincho" w:hAnsi="Calibri" w:cs="Calibri"/>
        </w:rPr>
        <w:t xml:space="preserve">, ‘empowerment theory’ was located at the heart of successful interventions. Successful interventions must have gender specificity, a target population, a theoretical foundation, cultural and historical congruence, skill-building components, and well-defined goals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{"citationItems":[{"id":"ITEM-1","itemData":{"DOI":"10.2105/AJPH.2008.140558","ISBN":"0090-0036","ISSN":"00900036","abstract":"Few HIV prevention interventions have been developed for African American men who have sex with men or who have sex with both men and women. Many interventions neglect the historical, structural or institutional, and sociocultural factors that hinder or support risk reduction in this high-risk group. We examined ways to incorporate these factors into Men of African American Legacy Empowering Self, a culturally congruent HIV intervention targeting African American men who have sex with men and women. We also studied how to apply key elements from successful interventions to future efforts. These elements include having gender specificity, a target population, a theoretical foundation, cultural and historical congruence, skill-building components, and well-defined goals.","author":[{"dropping-particle":"","family":"Williams","given":"John K.","non-dropping-particle":"","parse-names":false,"suffix":""},{"dropping-particle":"","family":"Ramamurthi","given":"Hema C.","non-dropping-particle":"","parse-names":false,"suffix":""},{"dropping-particle":"","family":"Manago","given":"Cleo","non-dropping-particle":"","parse-names":false,"suffix":""},{"dropping-particle":"","family":"Harawa","given":"Nina T.","non-dropping-particle":"","parse-names":false,"suffix":""}],"container-title":"American Journal of Public Health","id":"ITEM-1","issue":"6","issued":{"date-parts":[["2009"]]},"page":"1008-1012","title":"Learning from successful interventions: A culturally congruent HIV risk - Reduction intervention for African American men who have sex with men and women","type":"article-journal","volume":"99"},"locator":"1008","uris":["http://www.mendeley.com/documents/?uuid=f6b40032-24f6-4824-abce-3860a5faa0c9"]}],"mendeley":{"formattedCitation":"(Williams &lt;i&gt;et al.&lt;/i&gt;, 2009, p. 1008)","plainTextFormattedCitation":"(Williams et al., 2009, p. 1008)","previouslyFormattedCitation":"(Williams &lt;i&gt;et al.&lt;/i&gt;, 2009, p. 1008)"},"properties":{"noteIndex":0},"schema":"https://github.com/citation-style-language/schema/raw/master/csl-citation.json"}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noProof/>
        </w:rPr>
        <w:t xml:space="preserve">(Williams </w:t>
      </w:r>
      <w:r w:rsidR="0080697E" w:rsidRPr="0080697E">
        <w:rPr>
          <w:rFonts w:ascii="Calibri" w:eastAsia="MS Mincho" w:hAnsi="Calibri" w:cs="Calibri"/>
          <w:i/>
          <w:iCs/>
          <w:noProof/>
        </w:rPr>
        <w:t>et al</w:t>
      </w:r>
      <w:r w:rsidRPr="088F2921">
        <w:rPr>
          <w:rFonts w:ascii="Calibri" w:eastAsia="MS Mincho" w:hAnsi="Calibri" w:cs="Calibri"/>
          <w:noProof/>
        </w:rPr>
        <w:t>., 2009, p.1008)</w:t>
      </w:r>
      <w:r w:rsidRPr="088F2921">
        <w:rPr>
          <w:rFonts w:ascii="Calibri" w:eastAsia="MS Mincho" w:hAnsi="Calibri" w:cs="Calibri"/>
        </w:rPr>
        <w:fldChar w:fldCharType="end"/>
      </w:r>
      <w:r w:rsidRPr="088F2921">
        <w:rPr>
          <w:rFonts w:ascii="Calibri" w:eastAsia="MS Mincho" w:hAnsi="Calibri" w:cs="Calibri"/>
        </w:rPr>
        <w:t>.</w:t>
      </w:r>
    </w:p>
    <w:p w14:paraId="26F0B910" w14:textId="77777777" w:rsidR="0079774D" w:rsidRPr="00055D66" w:rsidRDefault="0079774D" w:rsidP="0079774D">
      <w:pPr>
        <w:spacing w:line="360" w:lineRule="auto"/>
        <w:rPr>
          <w:rFonts w:ascii="Calibri" w:eastAsia="MS Mincho" w:hAnsi="Calibri" w:cs="Calibri"/>
        </w:rPr>
      </w:pPr>
    </w:p>
    <w:p w14:paraId="7BF85D92" w14:textId="6CDB2BC3"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lastRenderedPageBreak/>
        <w:t>The value of gendered methods of intervention with young men and women is argued as necessary in certain contexts. For example</w:t>
      </w:r>
      <w:r w:rsidR="00C075BD">
        <w:rPr>
          <w:rFonts w:ascii="Calibri" w:eastAsia="MS Mincho" w:hAnsi="Calibri" w:cs="Calibri"/>
        </w:rPr>
        <w:t>,</w:t>
      </w:r>
      <w:r w:rsidRPr="00055D66">
        <w:rPr>
          <w:rFonts w:ascii="Calibri" w:eastAsia="MS Mincho" w:hAnsi="Calibri" w:cs="Calibri"/>
        </w:rPr>
        <w:t xml:space="preserve"> research exploring anti-bullying interventions indicates that gender differences in how men and women internalise and express wrong-doing in the digital world is important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{"citationItems":[{"id":"ITEM-1","itemData":{"DOI":"10.1007/s11199-017-0742-2","ISBN":"1119901707","ISSN":"15732762","PMID":"28979061","abstract":"Young people are spending increasing amounts of time using digital technology and, as such, are at great risk of being involved in cyber bullying as a victim, bully, or bully/ victim. Despite cyber bullying typically occurring outside the school environment, the impact of being involved in cyber bullying is likely to spill over to school. Fully 285 11-to 15-year-olds (125 male and 160 female, M age = 12.19 years, SD = 1.03) completed measures of cyber bullying involve-ment, self-esteem, trust, perceived peer acceptance, and per-ceptions of the value of learning and the importance of school. For young women, involvement in cyber bullying as a victim, bully, or bully/victim negatively predicted perceptions of learning and school, and perceived peer acceptance mediated this relationship. The results indicated that involvement in cyber bullying negatively predicted perceived peer acceptance which, in turn, positively predicted perceptions of learning and school. For young men, fulfilling the bully/victim role negatively predicted perceptions of learning and school. Consequently, for young women in particular, involvement in cyber bullying spills over to impact perceptions of learning. The findings of the current study highlight how stressors ex-ternal to the school environment can adversely impact young women's perceptions of school and also have implications for the development of interventions designed to ameliorate the effects of cyber bullying.","author":[{"dropping-particle":"","family":"Betts","given":"Lucy R.","non-dropping-particle":"","parse-names":false,"suffix":""},{"dropping-particle":"","family":"Spenser","given":"Karin A.","non-dropping-particle":"","parse-names":false,"suffix":""},{"dropping-particle":"","family":"Gardner","given":"Sarah E.","non-dropping-particle":"","parse-names":false,"suffix":""}],"container-title":"Sex Roles","id":"ITEM-1","issue":"7-8","issued":{"date-parts":[["2017"]]},"page":"471-481","publisher":"Sex Roles","title":"Adolescents’ Involvement in Cyber Bullying and Perceptions of School: The Importance of Perceived Peer Acceptance for Female Adolescents","type":"article-journal","volume":"77"},"uris":["http://www.mendeley.com/documents/?uuid=d4996d85-c456-42cc-98cc-eacf86f6402f"]}],"mendeley":{"formattedCitation":"(Betts, Spenser and Gardner, 2017)","plainTextFormattedCitation":"(Betts, Spenser and Gardner, 2017)","previouslyFormattedCitation":"(Betts, Spenser and Gardner,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(Betts, Spenser and Gardner, 2017)</w:t>
      </w:r>
      <w:r w:rsidRPr="00055D66">
        <w:rPr>
          <w:rFonts w:ascii="Calibri" w:eastAsia="MS Mincho" w:hAnsi="Calibri" w:cs="Calibri"/>
        </w:rPr>
        <w:fldChar w:fldCharType="end"/>
      </w:r>
      <w:r w:rsidRPr="00055D66">
        <w:rPr>
          <w:rFonts w:ascii="Calibri" w:eastAsia="MS Mincho" w:hAnsi="Calibri" w:cs="Calibri"/>
        </w:rPr>
        <w:t xml:space="preserve">; </w:t>
      </w:r>
      <w:r w:rsidR="00C075BD">
        <w:rPr>
          <w:rFonts w:ascii="Calibri" w:eastAsia="MS Mincho" w:hAnsi="Calibri" w:cs="Calibri"/>
        </w:rPr>
        <w:t xml:space="preserve">so </w:t>
      </w:r>
      <w:r w:rsidRPr="00055D66">
        <w:rPr>
          <w:rFonts w:ascii="Calibri" w:eastAsia="MS Mincho" w:hAnsi="Calibri" w:cs="Calibri"/>
        </w:rPr>
        <w:t xml:space="preserve">care is required to ensure separate interventions are delivered. Research relating to work with women led to discussion around function of ‘safe spaces’ in which to talk about sensitive issues, and the importance of being able to voice ‘unsayable’ things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{"citationItems":[{"id":"ITEM-1","itemData":{"DOI":"10.1080/09589236.2016.1175925","ISBN":"0958-9236","ISSN":"14653869","abstract":"Contemporary alarm about ‘laddism’ reveals what feminist research and activism has long-recognised; universities, like other social institutions, can be dangerous places for women. Research in the US and, more recently, the UK reveals alarming rates of violence, against women, the cultural and institutional norms which support violence and gaps in institutional responses. In the midst of this contemporary alarm about the university as a hotbed of laddism, there is a risk that the university – a site of potential empowerment and liberation for women (and men) – becomes re-positioned as a danger zone. The limited focus on danger and safety belies the potential of universities to enhance human freedoms through intellectual endeavour. We argue this progressive potential should remain centre-stage, as should university-based resistance to everyday sexism and laddism. This paper analyses accounts of young women feminists (n = 33) in UK and US universities. It explores their use of feminism and features of the university environment to resist and challenge oppressive cultures and practices. It argues that, despite encroaching neoliberalism and enduring sexism, universities continue to provide environments for engagements with feminism, enabling young women students to use feminism to resist and challenge sexism and to envision their feminist futures.","author":[{"dropping-particle":"","family":"Lewis","given":"Ruth","non-dropping-particle":"","parse-names":false,"suffix":""},{"dropping-particle":"","family":"Marine","given":"Susan","non-dropping-particle":"","parse-names":false,"suffix":""},{"dropping-particle":"","family":"Kenney","given":"Kathryn","non-dropping-particle":"","parse-names":false,"suffix":""}],"container-title":"Journal of Gender Studies","id":"ITEM-1","issue":"1","issued":{"date-parts":[["2018"]]},"page":"56-72","publisher":"Routledge","title":"‘I get together with my friends and try to change it’. Young feminist students resist ‘laddism’, ‘rape culture’ and ‘everyday sexism’","type":"article-journal","volume":"27"},"uris":["http://www.mendeley.com/documents/?uuid=87be0d48-9ec6-4d1d-9f6e-eedafb45e609"]}],"mendeley":{"formattedCitation":"(Lewis, Marine and Kenney, 2018)","plainTextFormattedCitation":"(Lewis, Marine and Kenney, 2018)","previouslyFormattedCitation":"(Lewis, Marine and Kenney, 2018)"},"properties":{"noteIndex":0},"schema":"https://github.com/citation-style-language/schema/raw/master/csl-citation.json"}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(Lewis, Marine and Kenney, 2018)</w:t>
      </w:r>
      <w:r w:rsidRPr="00055D66">
        <w:rPr>
          <w:rFonts w:ascii="Calibri" w:eastAsia="MS Mincho" w:hAnsi="Calibri" w:cs="Calibri"/>
        </w:rPr>
        <w:fldChar w:fldCharType="end"/>
      </w:r>
      <w:r w:rsidRPr="00055D66">
        <w:rPr>
          <w:rFonts w:ascii="Calibri" w:eastAsia="MS Mincho" w:hAnsi="Calibri" w:cs="Calibri"/>
        </w:rPr>
        <w:t xml:space="preserve">. </w:t>
      </w:r>
      <w:r w:rsidR="00C075BD">
        <w:rPr>
          <w:rFonts w:ascii="Calibri" w:eastAsia="MS Mincho" w:hAnsi="Calibri" w:cs="Calibri"/>
        </w:rPr>
        <w:t xml:space="preserve">Women </w:t>
      </w:r>
      <w:r w:rsidRPr="00055D66">
        <w:rPr>
          <w:rFonts w:ascii="Calibri" w:eastAsia="MS Mincho" w:hAnsi="Calibri" w:cs="Calibri"/>
        </w:rPr>
        <w:t xml:space="preserve">are more accustomed to drawing strength from group, community and collective experiences, which is an aspect of support that may be unfamiliar to men and regarded to be un-masculine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{"citationItems":[{"id":"ITEM-1","itemData":{"DOI":"10.1177/1440783316667638","ISBN":"1440783316667","ISSN":"17412978","abstract":"© 2016, © The Author(s) 2016. Increasingly in international research and popular media a growing interest in men and fatherhood is discernible. These changes occur as other aspects of the socio-economic world shift, necessitating the need to re-address how caring and paid work responsibilities are configured and practised. However, interest in men’s experiences as fathers has emerged in ways which reflect cultural assumptions and practices associated with dominant understandings of masculinities. Consequently, research on and evidence of changing behaviours has been culturally and geographically uneven. In this paper, two qualitative studies are drawn upon to examine how men living in Australia and the UK engage in/narrate experiences of preparation for first-time fatherhood. These studies compare men’s in-depth accounts of preparing for first-time fatherhood in cultures where understandings of masculinities overlap, but where differences are also discernible. The findings illuminate the ways in which biology, gender, temporality and histories of masculinities frame men’s preparation activities and service provision.","author":[{"dropping-particle":"","family":"Miller","given":"Tina","non-dropping-particle":"","parse-names":false,"suffix":""},{"dropping-particle":"","family":"Nash","given":"Meredith","non-dropping-particle":"","parse-names":false,"suffix":""}],"container-title":"Journal of Sociology","id":"ITEM-1","issue":"3","issued":{"date-parts":[["2017"]]},"page":"541-556","title":"‘I just think something like the “Bubs and Pubs” class is what men should be having’: Paternal subjectivities and preparing for first-time fatherhood in Australia and the United Kingdom","type":"article-journal","volume":"53"},"uris":["http://www.mendeley.com/documents/?uuid=3c00951c-38d3-4b7b-8c2c-5ec9c584effb"]},{"id":"ITEM-2","itemData":{"DOI":"10.1016/j.socscimed.2017.12.020","ISSN":"18735347","PMID":"29274614","abstract":"Rationale Recent meta-analytic research indicates that social support and social integration are highly protective against mortality, and that their importance is comparable to, or exceeds, that of many established behavioural risks such as smoking, high alcohol consumption, lack of exercise, and obesity that are the traditional focus of medical research (Holt-Lunstad et al., 2010). The present study examines perceptions of the contribution of these various factors to life expectancy within the community at large. Method American and British community respondents (N = 502) completed an on-line survey assessing the perceived importance of social and behavioural risk factors for mortality. Results As hypothesized, while respondents' perceptions of the importance of established behavioural risks was positively and highly correlated with their actual importance, social factors were seen to be far less important for health than they actually are. As a result, overall, there was a small but significant negative correlation between the perceived benefits and the actual benefits of different social and behavioural factors. Men, younger participants, and participants with a lower level of education were more likely to underestimate the importance of social factors for health. There was also evidence that underestimation was predicted by a cluster of ideological factors, the most significant of which was respondents’ respect for prevailing convention and authorities as captured by Right-Wing Authoritarianism. Conclusion Findings suggest that while people generally underestimate the importance of social factors for health this also varies as a function of demographic and ideological factors. They point to a range of challenges confronting those who seek to promote greater awareness of the importance of social factors for health.","author":[{"dropping-particle":"","family":"Haslam","given":"S. Alexander","non-dropping-particle":"","parse-names":false,"suffix":""},{"dropping-particle":"","family":"McMahon","given":"Charlotte","non-dropping-particle":"","parse-names":false,"suffix":""},{"dropping-particle":"","family":"Cruwys","given":"Tegan","non-dropping-particle":"","parse-names":false,"suffix":""},{"dropping-particle":"","family":"Haslam","given":"Catherine","non-dropping-particle":"","parse-names":false,"suffix":""},{"dropping-particle":"","family":"Jetten","given":"Jolanda","non-dropping-particle":"","parse-names":false,"suffix":""},{"dropping-particle":"","family":"Steffens","given":"Niklas K.","non-dropping-particle":"","parse-names":false,"suffix":""}],"container-title":"Social Science and Medicine","id":"ITEM-2","issue":"May 2017","issued":{"date-parts":[["2018"]]},"page":"14-21","title":"Social cure, what social cure? The propensity to underestimate the importance of social factors for health","type":"article-journal","volume":"198"},"uris":["http://www.mendeley.com/documents/?uuid=60bb199d-1356-4e27-bdee-beca3060ccd7"]}],"mendeley":{"formattedCitation":"(Miller and Nash, 2017; Haslam &lt;i&gt;et al.&lt;/i&gt;, 2018)","manualFormatting":"(Miller &amp; Nash 2017)","plainTextFormattedCitation":"(Miller and Nash, 2017; Haslam et al., 2018)","previouslyFormattedCitation":"(Miller and Nash, 2017; Haslam &lt;i&gt;et al.&lt;/i&gt;, 2018)"},"properties":{"noteIndex":0},"schema":"https://github.com/citation-style-language/schema/raw/master/csl-citation.json"}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(Miller and Nash 2017)</w:t>
      </w:r>
      <w:r w:rsidRPr="00055D66">
        <w:rPr>
          <w:rFonts w:ascii="Calibri" w:eastAsia="MS Mincho" w:hAnsi="Calibri" w:cs="Calibri"/>
        </w:rPr>
        <w:fldChar w:fldCharType="end"/>
      </w:r>
      <w:r w:rsidRPr="00055D66">
        <w:rPr>
          <w:rFonts w:ascii="Calibri" w:eastAsia="MS Mincho" w:hAnsi="Calibri" w:cs="Calibri"/>
        </w:rPr>
        <w:t xml:space="preserve">. In the case of fathers-to-be, ways in which advisory information for men is conveyed ‘requires rethinking in relation to what is regarded as specifically relevant’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{"citationItems":[{"id":"ITEM-1","itemData":{"DOI":"10.1177/1440783316667638","ISBN":"1440783316667","ISSN":"17412978","abstract":"© 2016, © The Author(s) 2016. Increasingly in international research and popular media a growing interest in men and fatherhood is discernible. These changes occur as other aspects of the socio-economic world shift, necessitating the need to re-address how caring and paid work responsibilities are configured and practised. However, interest in men’s experiences as fathers has emerged in ways which reflect cultural assumptions and practices associated with dominant understandings of masculinities. Consequently, research on and evidence of changing behaviours has been culturally and geographically uneven. In this paper, two qualitative studies are drawn upon to examine how men living in Australia and the UK engage in/narrate experiences of preparation for first-time fatherhood. These studies compare men’s in-depth accounts of preparing for first-time fatherhood in cultures where understandings of masculinities overlap, but where differences are also discernible. The findings illuminate the ways in which biology, gender, temporality and histories of masculinities frame men’s preparation activities and service provision.","author":[{"dropping-particle":"","family":"Miller","given":"Tina","non-dropping-particle":"","parse-names":false,"suffix":""},{"dropping-particle":"","family":"Nash","given":"Meredith","non-dropping-particle":"","parse-names":false,"suffix":""}],"container-title":"Journal of Sociology","id":"ITEM-1","issue":"3","issued":{"date-parts":[["2017"]]},"page":"541-556","title":"‘I just think something like the “Bubs and Pubs” class is what men should be having’: Paternal subjectivities and preparing for first-time fatherhood in Australia and the United Kingdom","type":"article-journal","volume":"53"},"locator":"554","uris":["http://www.mendeley.com/documents/?uuid=3c00951c-38d3-4b7b-8c2c-5ec9c584effb"]}],"mendeley":{"formattedCitation":"(Miller and Nash, 2017, p. 554)","plainTextFormattedCitation":"(Miller and Nash, 2017, p. 554)","previouslyFormattedCitation":"(Miller and Nash, 2017, p. 554)"},"properties":{"noteIndex":0},"schema":"https://github.com/citation-style-language/schema/raw/master/csl-citation.json"}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(Miller and Nash, 2017, p. 554)</w:t>
      </w:r>
      <w:r w:rsidRPr="00055D66">
        <w:rPr>
          <w:rFonts w:ascii="Calibri" w:eastAsia="MS Mincho" w:hAnsi="Calibri" w:cs="Calibri"/>
        </w:rPr>
        <w:fldChar w:fldCharType="end"/>
      </w:r>
      <w:r w:rsidRPr="00055D66">
        <w:rPr>
          <w:rFonts w:ascii="Calibri" w:eastAsia="MS Mincho" w:hAnsi="Calibri" w:cs="Calibri"/>
        </w:rPr>
        <w:t xml:space="preserve">; most importantly around how this information is delivered and by whom. </w:t>
      </w:r>
      <w:r w:rsidR="00C075BD" w:rsidRPr="00055D66">
        <w:rPr>
          <w:rFonts w:ascii="Calibri" w:eastAsia="MS Mincho" w:hAnsi="Calibri" w:cs="Calibri"/>
        </w:rPr>
        <w:t xml:space="preserve">However, </w:t>
      </w:r>
      <w:r w:rsidR="00147261">
        <w:rPr>
          <w:rFonts w:ascii="Calibri" w:eastAsia="MS Mincho" w:hAnsi="Calibri" w:cs="Calibri"/>
        </w:rPr>
        <w:t>it has been argued</w:t>
      </w:r>
      <w:r w:rsidR="00C075BD" w:rsidRPr="00055D66">
        <w:rPr>
          <w:rFonts w:ascii="Calibri" w:eastAsia="MS Mincho" w:hAnsi="Calibri" w:cs="Calibri"/>
        </w:rPr>
        <w:t xml:space="preserve"> that </w:t>
      </w:r>
      <w:r w:rsidR="00147261">
        <w:rPr>
          <w:rFonts w:ascii="Calibri" w:eastAsia="MS Mincho" w:hAnsi="Calibri" w:cs="Calibri"/>
        </w:rPr>
        <w:t xml:space="preserve">designing </w:t>
      </w:r>
      <w:r w:rsidR="00C075BD" w:rsidRPr="00055D66">
        <w:rPr>
          <w:rFonts w:ascii="Calibri" w:eastAsia="MS Mincho" w:hAnsi="Calibri" w:cs="Calibri"/>
        </w:rPr>
        <w:t>separate interventions</w:t>
      </w:r>
      <w:r w:rsidR="00147261">
        <w:rPr>
          <w:rFonts w:ascii="Calibri" w:eastAsia="MS Mincho" w:hAnsi="Calibri" w:cs="Calibri"/>
        </w:rPr>
        <w:t xml:space="preserve"> for women and men</w:t>
      </w:r>
      <w:r w:rsidR="00C075BD" w:rsidRPr="00055D66">
        <w:rPr>
          <w:rFonts w:ascii="Calibri" w:eastAsia="MS Mincho" w:hAnsi="Calibri" w:cs="Calibri"/>
        </w:rPr>
        <w:t xml:space="preserve"> may reinforce </w:t>
      </w:r>
      <w:r w:rsidR="00C075BD">
        <w:rPr>
          <w:rFonts w:ascii="Calibri" w:eastAsia="MS Mincho" w:hAnsi="Calibri" w:cs="Calibri"/>
        </w:rPr>
        <w:t>interpretations of gender that fail to address gender inequalities</w:t>
      </w:r>
      <w:r w:rsidR="00C075BD" w:rsidRPr="00055D66">
        <w:rPr>
          <w:rFonts w:ascii="Calibri" w:eastAsia="MS Mincho" w:hAnsi="Calibri" w:cs="Calibri"/>
        </w:rPr>
        <w:t xml:space="preserve"> </w:t>
      </w:r>
      <w:r w:rsidR="00C075BD" w:rsidRPr="00055D66">
        <w:rPr>
          <w:rFonts w:ascii="Calibri" w:eastAsia="MS Mincho" w:hAnsi="Calibri" w:cs="Calibri"/>
        </w:rPr>
        <w:fldChar w:fldCharType="begin" w:fldLock="1"/>
      </w:r>
      <w:r w:rsidR="00C075BD" w:rsidRPr="00055D66">
        <w:rPr>
          <w:rFonts w:ascii="Calibri" w:eastAsia="MS Mincho" w:hAnsi="Calibri" w:cs="Calibri"/>
        </w:rPr>
        <w:instrText>ADDIN CSL_CITATION {"citationItems":[{"id":"ITEM-1","itemData":{"DOI":"10.1080/08870446.2011.617444","ISBN":"1476-8321 (Electronic)\\r0887-0446 (Linking)","ISSN":"08870446","PMID":"22149393","abstract":"Although drinking and drunkenness have traditionally been considered masculine behaviours, young women's alcohol consumption has increased in recent years. This mixed methods study was conducted to examine the extent to which young people endorse gender double-standards for alcohol use--i.e., less acceptance of drinking and drunkenness in women than men--and how these influence men's and women's alcohol consumption. A sample of 731 English university students completed an online survey of gender role attitudes, beliefs about the gendered nature of alcohol use and recent alcohol consumption. Sixteen participants were then purposively selected for individual interviews: eight women and men with the most egalitarian gender role beliefs, and eight women and men with the least egalitarian beliefs. The two sets of data revealed that although there were few sex differences in actual levels of drinking or drunkenness, gender double-standards for alcohol use persist: beer drinking, binge drinking and public drunkenness tended to be perceived as masculine, and even the most egalitarian respondents were more judgemental of women's drinking. Participants modified their drinking style so as to maintain a desired gender identity. Although gender double-standards could be a focus of interventions to encourage moderate drinking, such approaches could reinforce gender inequalities.","author":[{"dropping-particle":"","family":"Visser","given":"Richard O.","non-dropping-particle":"de","parse-names":false,"suffix":""},{"dropping-particle":"","family":"McDonnell","given":"Elizabeth J.","non-dropping-particle":"","parse-names":false,"suffix":""}],"container-title":"Psychology and Health","id":"ITEM-1","issue":"5","issued":{"date-parts":[["2012"]]},"page":"618-639","title":"'That's OK. He's a guy': A mixed-methods study of gender double-standards for alcohol use","type":"article-journal","volume":"27"},"uris":["http://www.mendeley.com/documents/?uuid=4a654e19-f55e-4021-820e-84392bf4ba86"]}],"mendeley":{"formattedCitation":"(de Visser and McDonnell, 2012)","plainTextFormattedCitation":"(de Visser and McDonnell, 2012)","previouslyFormattedCitation":"(de Visser and McDonnell, 2012)"},"properties":{"noteIndex":0},"schema":"https://github.com/citation-style-language/schema/raw/master/csl-citation.json"}</w:instrText>
      </w:r>
      <w:r w:rsidR="00C075BD" w:rsidRPr="00055D66">
        <w:rPr>
          <w:rFonts w:ascii="Calibri" w:eastAsia="MS Mincho" w:hAnsi="Calibri" w:cs="Calibri"/>
        </w:rPr>
        <w:fldChar w:fldCharType="separate"/>
      </w:r>
      <w:r w:rsidR="00C075BD" w:rsidRPr="00055D66">
        <w:rPr>
          <w:rFonts w:ascii="Calibri" w:eastAsia="MS Mincho" w:hAnsi="Calibri" w:cs="Calibri"/>
          <w:noProof/>
        </w:rPr>
        <w:t>(de Visser and McDonnell, 2012)</w:t>
      </w:r>
      <w:r w:rsidR="00C075BD" w:rsidRPr="00055D66">
        <w:rPr>
          <w:rFonts w:ascii="Calibri" w:eastAsia="MS Mincho" w:hAnsi="Calibri" w:cs="Calibri"/>
        </w:rPr>
        <w:fldChar w:fldCharType="end"/>
      </w:r>
      <w:r w:rsidR="00C075BD" w:rsidRPr="00055D66">
        <w:rPr>
          <w:rFonts w:ascii="Calibri" w:eastAsia="MS Mincho" w:hAnsi="Calibri" w:cs="Calibri"/>
        </w:rPr>
        <w:t>.</w:t>
      </w:r>
      <w:r w:rsidR="00C075BD">
        <w:rPr>
          <w:rFonts w:ascii="Calibri" w:eastAsia="MS Mincho" w:hAnsi="Calibri" w:cs="Calibri"/>
        </w:rPr>
        <w:t xml:space="preserve"> For example, training young men to seek masculine ‘credit’ in healthier domains t</w:t>
      </w:r>
      <w:r w:rsidR="00F13CDD">
        <w:rPr>
          <w:rFonts w:ascii="Calibri" w:eastAsia="MS Mincho" w:hAnsi="Calibri" w:cs="Calibri"/>
        </w:rPr>
        <w:t>o</w:t>
      </w:r>
      <w:r w:rsidR="00C075BD">
        <w:rPr>
          <w:rFonts w:ascii="Calibri" w:eastAsia="MS Mincho" w:hAnsi="Calibri" w:cs="Calibri"/>
        </w:rPr>
        <w:t xml:space="preserve"> substance use and criminality reinforces the hegemonic masculinity discourse, </w:t>
      </w:r>
      <w:r w:rsidR="00F13CDD">
        <w:rPr>
          <w:rFonts w:ascii="Calibri" w:eastAsia="MS Mincho" w:hAnsi="Calibri" w:cs="Calibri"/>
        </w:rPr>
        <w:t>when alternative approach</w:t>
      </w:r>
      <w:r w:rsidR="009C71E7">
        <w:rPr>
          <w:rFonts w:ascii="Calibri" w:eastAsia="MS Mincho" w:hAnsi="Calibri" w:cs="Calibri"/>
        </w:rPr>
        <w:t>es</w:t>
      </w:r>
      <w:r w:rsidR="00F13CDD">
        <w:rPr>
          <w:rFonts w:ascii="Calibri" w:eastAsia="MS Mincho" w:hAnsi="Calibri" w:cs="Calibri"/>
        </w:rPr>
        <w:t xml:space="preserve"> might </w:t>
      </w:r>
      <w:r w:rsidR="009C71E7">
        <w:rPr>
          <w:rFonts w:ascii="Calibri" w:eastAsia="MS Mincho" w:hAnsi="Calibri" w:cs="Calibri"/>
        </w:rPr>
        <w:t>encourage</w:t>
      </w:r>
      <w:r w:rsidR="00C075BD">
        <w:rPr>
          <w:rFonts w:ascii="Calibri" w:eastAsia="MS Mincho" w:hAnsi="Calibri" w:cs="Calibri"/>
        </w:rPr>
        <w:t xml:space="preserve"> </w:t>
      </w:r>
      <w:r w:rsidR="00F13CDD">
        <w:rPr>
          <w:rFonts w:ascii="Calibri" w:eastAsia="MS Mincho" w:hAnsi="Calibri" w:cs="Calibri"/>
        </w:rPr>
        <w:t xml:space="preserve">modelling </w:t>
      </w:r>
      <w:r w:rsidR="009C71E7">
        <w:rPr>
          <w:rFonts w:ascii="Calibri" w:eastAsia="MS Mincho" w:hAnsi="Calibri" w:cs="Calibri"/>
        </w:rPr>
        <w:t xml:space="preserve">of </w:t>
      </w:r>
      <w:r w:rsidR="00C075BD">
        <w:rPr>
          <w:rFonts w:ascii="Calibri" w:eastAsia="MS Mincho" w:hAnsi="Calibri" w:cs="Calibri"/>
        </w:rPr>
        <w:t>different</w:t>
      </w:r>
      <w:r w:rsidR="00F13CDD">
        <w:rPr>
          <w:rFonts w:ascii="Calibri" w:eastAsia="MS Mincho" w:hAnsi="Calibri" w:cs="Calibri"/>
        </w:rPr>
        <w:t>, non-hegemonic</w:t>
      </w:r>
      <w:r w:rsidR="00C075BD">
        <w:rPr>
          <w:rFonts w:ascii="Calibri" w:eastAsia="MS Mincho" w:hAnsi="Calibri" w:cs="Calibri"/>
        </w:rPr>
        <w:t xml:space="preserve"> ways of ‘being </w:t>
      </w:r>
      <w:r w:rsidR="00F13CDD">
        <w:rPr>
          <w:rFonts w:ascii="Calibri" w:eastAsia="MS Mincho" w:hAnsi="Calibri" w:cs="Calibri"/>
        </w:rPr>
        <w:t xml:space="preserve">a </w:t>
      </w:r>
      <w:r w:rsidR="00C075BD">
        <w:rPr>
          <w:rFonts w:ascii="Calibri" w:eastAsia="MS Mincho" w:hAnsi="Calibri" w:cs="Calibri"/>
        </w:rPr>
        <w:t>m</w:t>
      </w:r>
      <w:r w:rsidR="00F13CDD">
        <w:rPr>
          <w:rFonts w:ascii="Calibri" w:eastAsia="MS Mincho" w:hAnsi="Calibri" w:cs="Calibri"/>
        </w:rPr>
        <w:t>a</w:t>
      </w:r>
      <w:r w:rsidR="00C075BD">
        <w:rPr>
          <w:rFonts w:ascii="Calibri" w:eastAsia="MS Mincho" w:hAnsi="Calibri" w:cs="Calibri"/>
        </w:rPr>
        <w:t>n’</w:t>
      </w:r>
      <w:r w:rsidR="00F13CDD">
        <w:rPr>
          <w:rFonts w:ascii="Calibri" w:eastAsia="MS Mincho" w:hAnsi="Calibri" w:cs="Calibri"/>
        </w:rPr>
        <w:t>.</w:t>
      </w:r>
      <w:r w:rsidR="009C71E7">
        <w:rPr>
          <w:rFonts w:ascii="Calibri" w:eastAsia="MS Mincho" w:hAnsi="Calibri" w:cs="Calibri"/>
        </w:rPr>
        <w:t xml:space="preserve"> Further, ‘gender-specific’ interventions may reify a binary understanding of gender, that does not capture the diversity in gender experience found among young people (</w:t>
      </w:r>
      <w:r w:rsidR="000F0D24">
        <w:rPr>
          <w:rFonts w:ascii="Calibri" w:eastAsia="MS Mincho" w:hAnsi="Calibri" w:cs="Calibri"/>
        </w:rPr>
        <w:t xml:space="preserve">Bradlow </w:t>
      </w:r>
      <w:r w:rsidR="0080697E" w:rsidRPr="0080697E">
        <w:rPr>
          <w:rFonts w:ascii="Calibri" w:eastAsia="MS Mincho" w:hAnsi="Calibri" w:cs="Calibri"/>
          <w:i/>
          <w:iCs/>
        </w:rPr>
        <w:t>et al</w:t>
      </w:r>
      <w:r w:rsidR="000F0D24">
        <w:rPr>
          <w:rFonts w:ascii="Calibri" w:eastAsia="MS Mincho" w:hAnsi="Calibri" w:cs="Calibri"/>
        </w:rPr>
        <w:t>., 2017</w:t>
      </w:r>
      <w:r w:rsidR="009C71E7">
        <w:rPr>
          <w:rFonts w:ascii="Calibri" w:eastAsia="MS Mincho" w:hAnsi="Calibri" w:cs="Calibri"/>
        </w:rPr>
        <w:t xml:space="preserve">). </w:t>
      </w:r>
    </w:p>
    <w:p w14:paraId="022AA42D" w14:textId="77777777" w:rsidR="0079774D" w:rsidRPr="00055D66" w:rsidRDefault="0079774D" w:rsidP="0079774D">
      <w:pPr>
        <w:spacing w:line="360" w:lineRule="auto"/>
        <w:rPr>
          <w:rFonts w:ascii="Calibri" w:eastAsia="MS Mincho" w:hAnsi="Calibri" w:cs="Calibri"/>
          <w:highlight w:val="yellow"/>
        </w:rPr>
      </w:pPr>
    </w:p>
    <w:p w14:paraId="38E908D2" w14:textId="709CEFCA" w:rsidR="0079774D" w:rsidRPr="00055D66" w:rsidRDefault="0079774D" w:rsidP="0079774D">
      <w:pPr>
        <w:spacing w:line="360" w:lineRule="auto"/>
        <w:rPr>
          <w:rFonts w:ascii="Calibri" w:eastAsia="MS Mincho" w:hAnsi="Calibri" w:cs="Calibri"/>
          <w:i/>
          <w:iCs/>
        </w:rPr>
      </w:pPr>
      <w:r>
        <w:rPr>
          <w:rFonts w:ascii="Calibri" w:eastAsia="MS Mincho" w:hAnsi="Calibri" w:cs="Calibri"/>
          <w:i/>
          <w:iCs/>
        </w:rPr>
        <w:t>2.3.</w:t>
      </w:r>
      <w:r w:rsidR="00114D69">
        <w:rPr>
          <w:rFonts w:ascii="Calibri" w:eastAsia="MS Mincho" w:hAnsi="Calibri" w:cs="Calibri"/>
          <w:i/>
          <w:iCs/>
        </w:rPr>
        <w:t>5</w:t>
      </w:r>
      <w:r>
        <w:rPr>
          <w:rFonts w:ascii="Calibri" w:eastAsia="MS Mincho" w:hAnsi="Calibri" w:cs="Calibri"/>
          <w:i/>
          <w:iCs/>
        </w:rPr>
        <w:t xml:space="preserve"> </w:t>
      </w:r>
      <w:r w:rsidRPr="00055D66">
        <w:rPr>
          <w:rFonts w:ascii="Calibri" w:eastAsia="MS Mincho" w:hAnsi="Calibri" w:cs="Calibri"/>
          <w:i/>
          <w:iCs/>
        </w:rPr>
        <w:t>Intervention models</w:t>
      </w:r>
    </w:p>
    <w:p w14:paraId="5F043C27"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An earlier commissioned report (Price and Ginn, 2008) into </w:t>
      </w:r>
      <w:r>
        <w:rPr>
          <w:rFonts w:ascii="Calibri" w:eastAsia="MS Mincho" w:hAnsi="Calibri" w:cs="Calibri"/>
        </w:rPr>
        <w:t xml:space="preserve">a broad scoping of </w:t>
      </w:r>
      <w:r w:rsidRPr="00055D66">
        <w:rPr>
          <w:rFonts w:ascii="Calibri" w:eastAsia="MS Mincho" w:hAnsi="Calibri" w:cs="Calibri"/>
        </w:rPr>
        <w:t>possible models of targeted youth support interventions with young people in Brighton &amp; Hove</w:t>
      </w:r>
      <w:r>
        <w:rPr>
          <w:rFonts w:ascii="Calibri" w:eastAsia="MS Mincho" w:hAnsi="Calibri" w:cs="Calibri"/>
        </w:rPr>
        <w:t>,</w:t>
      </w:r>
      <w:r w:rsidRPr="00055D66">
        <w:rPr>
          <w:rFonts w:ascii="Calibri" w:eastAsia="MS Mincho" w:hAnsi="Calibri" w:cs="Calibri"/>
        </w:rPr>
        <w:t xml:space="preserve"> focused on several noted approaches for consideration:</w:t>
      </w:r>
    </w:p>
    <w:p w14:paraId="4084892C" w14:textId="77777777" w:rsidR="0079774D" w:rsidRPr="00055D66" w:rsidRDefault="0079774D" w:rsidP="0079774D">
      <w:pPr>
        <w:spacing w:line="360" w:lineRule="auto"/>
        <w:ind w:left="720"/>
        <w:rPr>
          <w:rFonts w:ascii="Calibri" w:eastAsia="MS Mincho" w:hAnsi="Calibri" w:cs="Calibri"/>
          <w:i/>
          <w:iCs/>
        </w:rPr>
      </w:pPr>
      <w:r w:rsidRPr="00055D66">
        <w:rPr>
          <w:rFonts w:ascii="Calibri" w:eastAsia="MS Mincho" w:hAnsi="Calibri" w:cs="Calibri"/>
          <w:i/>
          <w:iCs/>
        </w:rPr>
        <w:t>Solution focused approaches</w:t>
      </w:r>
    </w:p>
    <w:p w14:paraId="378F3121" w14:textId="77777777" w:rsidR="0079774D" w:rsidRPr="00055D66" w:rsidRDefault="0079774D" w:rsidP="0079774D">
      <w:pPr>
        <w:spacing w:line="360" w:lineRule="auto"/>
        <w:ind w:left="720"/>
        <w:rPr>
          <w:rFonts w:ascii="Calibri" w:eastAsia="MS Mincho" w:hAnsi="Calibri" w:cs="Calibri"/>
          <w:i/>
          <w:iCs/>
        </w:rPr>
      </w:pPr>
      <w:r w:rsidRPr="00055D66">
        <w:rPr>
          <w:rFonts w:ascii="Calibri" w:eastAsia="MS Mincho" w:hAnsi="Calibri" w:cs="Calibri"/>
          <w:i/>
          <w:iCs/>
        </w:rPr>
        <w:t>Motivational interviewing</w:t>
      </w:r>
    </w:p>
    <w:p w14:paraId="0B5C9828" w14:textId="77777777" w:rsidR="0079774D" w:rsidRPr="00055D66" w:rsidRDefault="0079774D" w:rsidP="0079774D">
      <w:pPr>
        <w:spacing w:line="360" w:lineRule="auto"/>
        <w:ind w:left="720"/>
        <w:rPr>
          <w:rFonts w:ascii="Calibri" w:eastAsia="MS Mincho" w:hAnsi="Calibri" w:cs="Calibri"/>
          <w:i/>
          <w:iCs/>
        </w:rPr>
      </w:pPr>
      <w:r w:rsidRPr="00055D66">
        <w:rPr>
          <w:rFonts w:ascii="Calibri" w:eastAsia="MS Mincho" w:hAnsi="Calibri" w:cs="Calibri"/>
          <w:i/>
          <w:iCs/>
        </w:rPr>
        <w:lastRenderedPageBreak/>
        <w:t>Cognitive behavioural approaches</w:t>
      </w:r>
    </w:p>
    <w:p w14:paraId="7A45EFD9" w14:textId="77777777" w:rsidR="0079774D" w:rsidRPr="00055D66" w:rsidRDefault="0079774D" w:rsidP="0079774D">
      <w:pPr>
        <w:spacing w:line="360" w:lineRule="auto"/>
        <w:ind w:left="720"/>
        <w:rPr>
          <w:rFonts w:ascii="Calibri" w:eastAsia="MS Mincho" w:hAnsi="Calibri" w:cs="Calibri"/>
          <w:i/>
          <w:iCs/>
        </w:rPr>
      </w:pPr>
      <w:r w:rsidRPr="00055D66">
        <w:rPr>
          <w:rFonts w:ascii="Calibri" w:eastAsia="MS Mincho" w:hAnsi="Calibri" w:cs="Calibri"/>
          <w:i/>
          <w:iCs/>
        </w:rPr>
        <w:t>Information-motivation-behaviour skills</w:t>
      </w:r>
    </w:p>
    <w:p w14:paraId="680F564F" w14:textId="77777777" w:rsidR="0079774D" w:rsidRPr="00055D66" w:rsidRDefault="0079774D" w:rsidP="0079774D">
      <w:pPr>
        <w:spacing w:line="360" w:lineRule="auto"/>
        <w:ind w:left="720"/>
        <w:rPr>
          <w:rFonts w:ascii="Calibri" w:eastAsia="MS Mincho" w:hAnsi="Calibri" w:cs="Calibri"/>
          <w:i/>
          <w:iCs/>
        </w:rPr>
      </w:pPr>
      <w:r w:rsidRPr="00055D66">
        <w:rPr>
          <w:rFonts w:ascii="Calibri" w:eastAsia="MS Mincho" w:hAnsi="Calibri" w:cs="Calibri"/>
          <w:i/>
          <w:iCs/>
        </w:rPr>
        <w:t>Aggressive replacement training</w:t>
      </w:r>
    </w:p>
    <w:p w14:paraId="2F6F05EB" w14:textId="77777777" w:rsidR="0079774D" w:rsidRPr="00055D66" w:rsidRDefault="0079774D" w:rsidP="0079774D">
      <w:pPr>
        <w:spacing w:line="360" w:lineRule="auto"/>
        <w:ind w:left="720"/>
        <w:rPr>
          <w:rFonts w:ascii="Calibri" w:eastAsia="MS Mincho" w:hAnsi="Calibri" w:cs="Calibri"/>
          <w:i/>
          <w:iCs/>
        </w:rPr>
      </w:pPr>
      <w:r w:rsidRPr="00055D66">
        <w:rPr>
          <w:rFonts w:ascii="Calibri" w:eastAsia="MS Mincho" w:hAnsi="Calibri" w:cs="Calibri"/>
          <w:i/>
          <w:iCs/>
        </w:rPr>
        <w:t>Positive parenting programme (Triple P)</w:t>
      </w:r>
    </w:p>
    <w:p w14:paraId="5142CD74" w14:textId="77777777" w:rsidR="0079774D" w:rsidRPr="00055D66" w:rsidRDefault="0079774D" w:rsidP="0079774D">
      <w:pPr>
        <w:spacing w:line="360" w:lineRule="auto"/>
        <w:rPr>
          <w:rFonts w:ascii="Calibri" w:eastAsia="MS Mincho" w:hAnsi="Calibri" w:cs="Calibri"/>
        </w:rPr>
      </w:pPr>
    </w:p>
    <w:p w14:paraId="0AD0C71E" w14:textId="1550C221"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More recently studies into the role of the virtual school in supporting the education and wellbeing of children looked-after (Drew and Bannerjee, 2019), the socio-motivational impact of drama and theatre on marginalized young people (Hanrahan and Bannerjee, 2017), and the use of social recovery therapy as an early intervention approach for young people with social disability and associated severe and complex mental health problems (Fowler, </w:t>
      </w:r>
      <w:r w:rsidR="0080697E" w:rsidRPr="0080697E">
        <w:rPr>
          <w:rFonts w:ascii="Calibri" w:eastAsia="MS Mincho" w:hAnsi="Calibri" w:cs="Calibri"/>
          <w:i/>
          <w:iCs/>
        </w:rPr>
        <w:t>et al.,</w:t>
      </w:r>
      <w:r w:rsidRPr="088F2921">
        <w:rPr>
          <w:rFonts w:ascii="Calibri" w:eastAsia="MS Mincho" w:hAnsi="Calibri" w:cs="Calibri"/>
        </w:rPr>
        <w:t xml:space="preserve"> 2017) have all reported on particular interventions in response specified need. The study into the role of the Virtual School is of particular interest and relevance here, in that whilst it does not focus specifically on young men, the contextual issues of working from an attachment and trauma informed position are of especial interest, as are the use of Bronfenbrenner</w:t>
      </w:r>
      <w:r w:rsidR="200A1512" w:rsidRPr="088F2921">
        <w:rPr>
          <w:rFonts w:ascii="Calibri" w:eastAsia="MS Mincho" w:hAnsi="Calibri" w:cs="Calibri"/>
        </w:rPr>
        <w:t>’s</w:t>
      </w:r>
      <w:r w:rsidRPr="088F2921">
        <w:rPr>
          <w:rFonts w:ascii="Calibri" w:eastAsia="MS Mincho" w:hAnsi="Calibri" w:cs="Calibri"/>
        </w:rPr>
        <w:t xml:space="preserve"> ecological model </w:t>
      </w:r>
      <w:r w:rsidR="6BE6E8DC" w:rsidRPr="088F2921">
        <w:rPr>
          <w:rFonts w:ascii="Calibri" w:eastAsia="MS Mincho" w:hAnsi="Calibri" w:cs="Calibri"/>
        </w:rPr>
        <w:t xml:space="preserve">(as used in the Roca model referred to elsewhere too) </w:t>
      </w:r>
      <w:r w:rsidRPr="088F2921">
        <w:rPr>
          <w:rFonts w:ascii="Calibri" w:eastAsia="MS Mincho" w:hAnsi="Calibri" w:cs="Calibri"/>
        </w:rPr>
        <w:t>i</w:t>
      </w:r>
      <w:r w:rsidR="479D2E63" w:rsidRPr="088F2921">
        <w:rPr>
          <w:rFonts w:ascii="Calibri" w:eastAsia="MS Mincho" w:hAnsi="Calibri" w:cs="Calibri"/>
        </w:rPr>
        <w:t>n</w:t>
      </w:r>
      <w:r w:rsidRPr="088F2921">
        <w:rPr>
          <w:rFonts w:ascii="Calibri" w:eastAsia="MS Mincho" w:hAnsi="Calibri" w:cs="Calibri"/>
        </w:rPr>
        <w:t xml:space="preserve"> thinking about context and the emphasis of response, interagency responses to specified need. The foregrounding of social and emotional aspects of learning (SEAL) is also relevant to this research. </w:t>
      </w:r>
    </w:p>
    <w:p w14:paraId="06737390" w14:textId="77777777" w:rsidR="0079774D" w:rsidRPr="00055D66" w:rsidRDefault="0079774D" w:rsidP="0079774D">
      <w:pPr>
        <w:spacing w:line="360" w:lineRule="auto"/>
        <w:rPr>
          <w:rFonts w:ascii="Calibri" w:eastAsia="MS Mincho" w:hAnsi="Calibri" w:cs="Calibri"/>
        </w:rPr>
      </w:pPr>
    </w:p>
    <w:p w14:paraId="16250E7E" w14:textId="79CFBE35" w:rsidR="0079774D" w:rsidRPr="00055D66" w:rsidRDefault="0079774D" w:rsidP="0079774D">
      <w:pPr>
        <w:spacing w:line="360" w:lineRule="auto"/>
        <w:rPr>
          <w:rFonts w:ascii="Calibri" w:eastAsia="MS Mincho" w:hAnsi="Calibri" w:cs="Calibri"/>
        </w:rPr>
      </w:pPr>
      <w:r w:rsidRPr="088F2921">
        <w:rPr>
          <w:rFonts w:ascii="Calibri" w:eastAsia="MS Mincho" w:hAnsi="Calibri" w:cs="Calibri"/>
        </w:rPr>
        <w:t xml:space="preserve">More recently still, a locally published evaluation into the first year of the Home Office funded “REBOOT” programme (SPCC, 2020) reports efficacy of a five-stage progressive intervention model, including initial interview with the young person and their parent(s)/carer, referral to coaching and/or nurse practitioner services, acceptable behaviour contracting, YOS assessment plus engagement into education, training or employment and multi-agency panel referral orders. This programme focuses particularly on young people engagement in violent crime and is contextualised by concern with the young people in Sussex being particularly vulnerable to ‘county line’ exploitation. Of those young people aged 10 to 17 years engaged in the REBOOT programme across Sussex, 78% were young men. Of the total numbers involved, over half had </w:t>
      </w:r>
      <w:r w:rsidRPr="088F2921">
        <w:rPr>
          <w:rFonts w:ascii="Calibri" w:eastAsia="MS Mincho" w:hAnsi="Calibri" w:cs="Calibri"/>
        </w:rPr>
        <w:lastRenderedPageBreak/>
        <w:t xml:space="preserve">low </w:t>
      </w:r>
      <w:r w:rsidR="5E468604" w:rsidRPr="088F2921">
        <w:rPr>
          <w:rFonts w:ascii="Calibri" w:eastAsia="MS Mincho" w:hAnsi="Calibri" w:cs="Calibri"/>
        </w:rPr>
        <w:t xml:space="preserve">school </w:t>
      </w:r>
      <w:r w:rsidRPr="088F2921">
        <w:rPr>
          <w:rFonts w:ascii="Calibri" w:eastAsia="MS Mincho" w:hAnsi="Calibri" w:cs="Calibri"/>
        </w:rPr>
        <w:t>attendance, were excluded or not in education, employment or training. Again, of particular note here is the multi-agency approach taken, with statutory services, voluntary/community sector organisations and private companies working in partnership</w:t>
      </w:r>
      <w:r w:rsidR="323573FA" w:rsidRPr="088F2921">
        <w:rPr>
          <w:rFonts w:ascii="Calibri" w:eastAsia="MS Mincho" w:hAnsi="Calibri" w:cs="Calibri"/>
        </w:rPr>
        <w:t>.</w:t>
      </w:r>
    </w:p>
    <w:p w14:paraId="26A9AD93" w14:textId="23350DB5" w:rsidR="0079774D" w:rsidRDefault="0079774D" w:rsidP="0079774D">
      <w:pPr>
        <w:spacing w:line="360" w:lineRule="auto"/>
        <w:rPr>
          <w:rFonts w:ascii="Calibri" w:eastAsia="MS Mincho" w:hAnsi="Calibri" w:cs="Calibri"/>
        </w:rPr>
      </w:pPr>
    </w:p>
    <w:p w14:paraId="455B9B97" w14:textId="77777777" w:rsidR="00114D69" w:rsidRDefault="00114D69" w:rsidP="0079774D">
      <w:pPr>
        <w:spacing w:line="360" w:lineRule="auto"/>
        <w:rPr>
          <w:rFonts w:ascii="Calibri" w:eastAsia="MS Mincho" w:hAnsi="Calibri" w:cs="Calibri"/>
        </w:rPr>
      </w:pPr>
    </w:p>
    <w:p w14:paraId="5674A3E9" w14:textId="299F56E0" w:rsidR="0079774D" w:rsidRPr="002F77BE" w:rsidRDefault="0079774D" w:rsidP="0079774D">
      <w:pPr>
        <w:spacing w:line="360" w:lineRule="auto"/>
        <w:rPr>
          <w:rFonts w:ascii="Calibri" w:eastAsia="MS Mincho" w:hAnsi="Calibri" w:cs="Calibri"/>
          <w:i/>
          <w:iCs/>
        </w:rPr>
      </w:pPr>
      <w:r w:rsidRPr="002F77BE">
        <w:rPr>
          <w:rFonts w:ascii="Calibri" w:eastAsia="MS Mincho" w:hAnsi="Calibri" w:cs="Calibri"/>
          <w:i/>
          <w:iCs/>
        </w:rPr>
        <w:t>2.3.</w:t>
      </w:r>
      <w:r w:rsidR="00114D69">
        <w:rPr>
          <w:rFonts w:ascii="Calibri" w:eastAsia="MS Mincho" w:hAnsi="Calibri" w:cs="Calibri"/>
          <w:i/>
          <w:iCs/>
        </w:rPr>
        <w:t>6</w:t>
      </w:r>
      <w:r w:rsidRPr="002F77BE">
        <w:rPr>
          <w:rFonts w:ascii="Calibri" w:eastAsia="MS Mincho" w:hAnsi="Calibri" w:cs="Calibri"/>
          <w:i/>
          <w:iCs/>
        </w:rPr>
        <w:t xml:space="preserve"> Targeted interventions </w:t>
      </w:r>
    </w:p>
    <w:p w14:paraId="21FCB15B" w14:textId="77777777" w:rsidR="00301C85" w:rsidRPr="00420652" w:rsidRDefault="00301C85" w:rsidP="00301C85">
      <w:pPr>
        <w:spacing w:line="360" w:lineRule="auto"/>
        <w:rPr>
          <w:rFonts w:asciiTheme="majorHAnsi" w:hAnsiTheme="majorHAnsi" w:cstheme="majorHAnsi"/>
        </w:rPr>
      </w:pPr>
      <w:r w:rsidRPr="00420652">
        <w:rPr>
          <w:rFonts w:asciiTheme="majorHAnsi" w:hAnsiTheme="majorHAnsi" w:cstheme="majorHAnsi"/>
        </w:rPr>
        <w:t xml:space="preserve">Interventions may be ‘targeted’ either in terms of specific issues and/or behaviours (e.g., substance use; school refusal etc) or </w:t>
      </w:r>
      <w:r>
        <w:rPr>
          <w:rFonts w:asciiTheme="majorHAnsi" w:hAnsiTheme="majorHAnsi" w:cstheme="majorHAnsi"/>
        </w:rPr>
        <w:t xml:space="preserve">in terms of </w:t>
      </w:r>
      <w:r w:rsidRPr="00420652">
        <w:rPr>
          <w:rFonts w:asciiTheme="majorHAnsi" w:hAnsiTheme="majorHAnsi" w:cstheme="majorHAnsi"/>
        </w:rPr>
        <w:t>more generalised/holistic assessment of vulnerability or need. The then UK Labour government’s ‘</w:t>
      </w:r>
      <w:bookmarkStart w:id="1" w:name="_Hlk69999175"/>
      <w:r w:rsidRPr="00420652">
        <w:rPr>
          <w:rFonts w:asciiTheme="majorHAnsi" w:hAnsiTheme="majorHAnsi" w:cstheme="majorHAnsi"/>
        </w:rPr>
        <w:t xml:space="preserve">Targeted Youth Support’ </w:t>
      </w:r>
      <w:bookmarkEnd w:id="1"/>
      <w:r w:rsidRPr="00420652">
        <w:rPr>
          <w:rFonts w:asciiTheme="majorHAnsi" w:hAnsiTheme="majorHAnsi" w:cstheme="majorHAnsi"/>
        </w:rPr>
        <w:t>(TYS) policy initiative (DCSF, 2008) aimed to:</w:t>
      </w:r>
    </w:p>
    <w:p w14:paraId="762CC4B9" w14:textId="77777777" w:rsidR="00301C85" w:rsidRPr="00420652" w:rsidRDefault="00301C85" w:rsidP="00301C85">
      <w:pPr>
        <w:rPr>
          <w:rFonts w:asciiTheme="majorHAnsi" w:hAnsiTheme="majorHAnsi" w:cstheme="majorHAnsi"/>
        </w:rPr>
      </w:pPr>
    </w:p>
    <w:p w14:paraId="2E83F727" w14:textId="77777777" w:rsidR="00301C85" w:rsidRPr="00420652" w:rsidRDefault="00301C85" w:rsidP="00301C85">
      <w:pPr>
        <w:ind w:left="720"/>
        <w:rPr>
          <w:rFonts w:asciiTheme="majorHAnsi" w:hAnsiTheme="majorHAnsi" w:cstheme="majorHAnsi"/>
        </w:rPr>
      </w:pPr>
      <w:r w:rsidRPr="00420652">
        <w:rPr>
          <w:rFonts w:asciiTheme="majorHAnsi" w:hAnsiTheme="majorHAnsi" w:cstheme="majorHAnsi"/>
        </w:rPr>
        <w:t>ensure that the needs of vulnerable teenagers are identified early and met by agencies working together effectively in ways that are shaped by the views and experiences of young people themselves (p.4)</w:t>
      </w:r>
    </w:p>
    <w:p w14:paraId="17AD5615" w14:textId="77777777" w:rsidR="00301C85" w:rsidRPr="00420652" w:rsidRDefault="00301C85" w:rsidP="00301C85">
      <w:pPr>
        <w:rPr>
          <w:rFonts w:asciiTheme="majorHAnsi" w:hAnsiTheme="majorHAnsi" w:cstheme="majorHAnsi"/>
        </w:rPr>
      </w:pPr>
    </w:p>
    <w:p w14:paraId="6FCC1EF8" w14:textId="77777777" w:rsidR="00301C85" w:rsidRPr="00420652" w:rsidRDefault="00301C85" w:rsidP="00301C85">
      <w:pPr>
        <w:spacing w:line="360" w:lineRule="auto"/>
        <w:rPr>
          <w:rFonts w:asciiTheme="majorHAnsi" w:hAnsiTheme="majorHAnsi" w:cstheme="majorHAnsi"/>
        </w:rPr>
      </w:pPr>
      <w:r w:rsidRPr="00420652">
        <w:rPr>
          <w:rFonts w:asciiTheme="majorHAnsi" w:hAnsiTheme="majorHAnsi" w:cstheme="majorHAnsi"/>
        </w:rPr>
        <w:t>The principles of multi-agency, integrated, early intervention working central to TYS were a reflection of the New Labour social inclusion policy agenda for children and young people’s services.  Youth work and Connexions, the since disbanded national initiative to provide personalised support and co-ordinate interventions with NEET (not in education, employment and training) young people, were regarded as central to TYS.</w:t>
      </w:r>
    </w:p>
    <w:p w14:paraId="04CD0AE8" w14:textId="77777777" w:rsidR="00301C85" w:rsidRPr="00420652" w:rsidRDefault="00301C85" w:rsidP="00301C85">
      <w:pPr>
        <w:spacing w:line="360" w:lineRule="auto"/>
        <w:rPr>
          <w:rFonts w:asciiTheme="majorHAnsi" w:hAnsiTheme="majorHAnsi" w:cstheme="majorHAnsi"/>
        </w:rPr>
      </w:pPr>
    </w:p>
    <w:p w14:paraId="49280EAB" w14:textId="77777777" w:rsidR="00301C85" w:rsidRPr="00420652" w:rsidRDefault="00301C85" w:rsidP="00301C85">
      <w:pPr>
        <w:spacing w:line="360" w:lineRule="auto"/>
        <w:rPr>
          <w:rFonts w:asciiTheme="majorHAnsi" w:hAnsiTheme="majorHAnsi" w:cstheme="majorHAnsi"/>
        </w:rPr>
      </w:pPr>
      <w:r w:rsidRPr="00420652">
        <w:rPr>
          <w:rFonts w:asciiTheme="majorHAnsi" w:hAnsiTheme="majorHAnsi" w:cstheme="majorHAnsi"/>
        </w:rPr>
        <w:t xml:space="preserve">A range of TYS provision included specified initiatives aimed at vulnerable and ‘at risk’ young men, and organisations such as </w:t>
      </w:r>
      <w:r w:rsidRPr="00420652">
        <w:rPr>
          <w:rFonts w:asciiTheme="majorHAnsi" w:hAnsiTheme="majorHAnsi" w:cstheme="majorHAnsi"/>
          <w:i/>
          <w:iCs/>
        </w:rPr>
        <w:t xml:space="preserve">Future Men </w:t>
      </w:r>
      <w:r w:rsidRPr="00420652">
        <w:rPr>
          <w:rFonts w:asciiTheme="majorHAnsi" w:hAnsiTheme="majorHAnsi" w:cstheme="majorHAnsi"/>
        </w:rPr>
        <w:t xml:space="preserve">(formerly </w:t>
      </w:r>
      <w:r w:rsidRPr="00420652">
        <w:rPr>
          <w:rFonts w:asciiTheme="majorHAnsi" w:hAnsiTheme="majorHAnsi" w:cstheme="majorHAnsi"/>
          <w:i/>
          <w:iCs/>
        </w:rPr>
        <w:t>Working with Men)</w:t>
      </w:r>
      <w:r w:rsidRPr="00420652">
        <w:rPr>
          <w:rFonts w:asciiTheme="majorHAnsi" w:hAnsiTheme="majorHAnsi" w:cstheme="majorHAnsi"/>
        </w:rPr>
        <w:t xml:space="preserve"> (</w:t>
      </w:r>
      <w:hyperlink w:history="1">
        <w:r w:rsidRPr="00420652">
          <w:rPr>
            <w:rStyle w:val="Hyperlink"/>
            <w:rFonts w:asciiTheme="majorHAnsi" w:hAnsiTheme="majorHAnsi" w:cstheme="majorHAnsi"/>
          </w:rPr>
          <w:t>https://futuremen.org</w:t>
        </w:r>
      </w:hyperlink>
      <w:r w:rsidRPr="00420652">
        <w:rPr>
          <w:rFonts w:asciiTheme="majorHAnsi" w:hAnsiTheme="majorHAnsi" w:cstheme="majorHAnsi"/>
        </w:rPr>
        <w:t>) pioneered much of such targeted provision (see for example, Lloyd, 1997).</w:t>
      </w:r>
    </w:p>
    <w:p w14:paraId="20C78C4A" w14:textId="77777777" w:rsidR="00301C85" w:rsidRPr="00420652" w:rsidRDefault="00301C85" w:rsidP="00301C85">
      <w:pPr>
        <w:spacing w:line="360" w:lineRule="auto"/>
        <w:rPr>
          <w:rFonts w:asciiTheme="majorHAnsi" w:hAnsiTheme="majorHAnsi" w:cstheme="majorHAnsi"/>
        </w:rPr>
      </w:pPr>
    </w:p>
    <w:p w14:paraId="225DC861" w14:textId="3A81B1E9" w:rsidR="00301C85" w:rsidRPr="00420652" w:rsidRDefault="00301C85" w:rsidP="00301C85">
      <w:pPr>
        <w:spacing w:line="360" w:lineRule="auto"/>
        <w:rPr>
          <w:rFonts w:asciiTheme="majorHAnsi" w:hAnsiTheme="majorHAnsi" w:cstheme="majorHAnsi"/>
        </w:rPr>
      </w:pPr>
      <w:r w:rsidRPr="00420652">
        <w:rPr>
          <w:rFonts w:asciiTheme="majorHAnsi" w:hAnsiTheme="majorHAnsi" w:cstheme="majorHAnsi"/>
        </w:rPr>
        <w:t xml:space="preserve">Evaluation of the targeted youth provision in England (Thomas </w:t>
      </w:r>
      <w:r w:rsidR="0080697E">
        <w:rPr>
          <w:rFonts w:asciiTheme="majorHAnsi" w:hAnsiTheme="majorHAnsi" w:cstheme="majorHAnsi"/>
          <w:i/>
          <w:iCs/>
        </w:rPr>
        <w:t>et al.,</w:t>
      </w:r>
      <w:r w:rsidRPr="00420652">
        <w:rPr>
          <w:rFonts w:asciiTheme="majorHAnsi" w:hAnsiTheme="majorHAnsi" w:cstheme="majorHAnsi"/>
        </w:rPr>
        <w:t xml:space="preserve"> 2008) and elsewhere (Knight </w:t>
      </w:r>
      <w:r w:rsidR="0080697E">
        <w:rPr>
          <w:rFonts w:asciiTheme="majorHAnsi" w:hAnsiTheme="majorHAnsi" w:cstheme="majorHAnsi"/>
          <w:i/>
          <w:iCs/>
        </w:rPr>
        <w:t>et al.,</w:t>
      </w:r>
      <w:r w:rsidRPr="00420652">
        <w:rPr>
          <w:rFonts w:asciiTheme="majorHAnsi" w:hAnsiTheme="majorHAnsi" w:cstheme="majorHAnsi"/>
        </w:rPr>
        <w:t xml:space="preserve"> 2017) and of youth work more broadly (Dickson </w:t>
      </w:r>
      <w:r w:rsidR="0080697E">
        <w:rPr>
          <w:rFonts w:asciiTheme="majorHAnsi" w:hAnsiTheme="majorHAnsi" w:cstheme="majorHAnsi"/>
          <w:i/>
          <w:iCs/>
        </w:rPr>
        <w:t>et al.,</w:t>
      </w:r>
      <w:r w:rsidRPr="00420652">
        <w:rPr>
          <w:rFonts w:asciiTheme="majorHAnsi" w:hAnsiTheme="majorHAnsi" w:cstheme="majorHAnsi"/>
        </w:rPr>
        <w:t xml:space="preserve"> 2013) has been consistent in calls for more robust evaluation processes. Indications are that where targeted interventions </w:t>
      </w:r>
      <w:r w:rsidRPr="00420652">
        <w:rPr>
          <w:rFonts w:asciiTheme="majorHAnsi" w:hAnsiTheme="majorHAnsi" w:cstheme="majorHAnsi"/>
        </w:rPr>
        <w:lastRenderedPageBreak/>
        <w:t>are more focused on specific issues and behaviours then it is easier to evaluate the intervention in terms of specified outcome. However, caution should be taken, as more holistic interventions are regarded as more likely to result in longer term life chance and change outcomes, albeit being more challenging to evaluate.</w:t>
      </w:r>
    </w:p>
    <w:p w14:paraId="4F458927" w14:textId="77777777" w:rsidR="00301C85" w:rsidRDefault="00301C85" w:rsidP="0079774D">
      <w:pPr>
        <w:spacing w:line="360" w:lineRule="auto"/>
        <w:rPr>
          <w:rFonts w:ascii="Calibri" w:eastAsia="MS Mincho" w:hAnsi="Calibri" w:cs="Calibri"/>
        </w:rPr>
      </w:pPr>
    </w:p>
    <w:p w14:paraId="53C114BC" w14:textId="1C930F8A" w:rsidR="0079774D" w:rsidRPr="002F77BE" w:rsidRDefault="0079774D" w:rsidP="0079774D">
      <w:pPr>
        <w:spacing w:line="360" w:lineRule="auto"/>
        <w:rPr>
          <w:rFonts w:ascii="Calibri" w:eastAsia="MS Mincho" w:hAnsi="Calibri" w:cs="Calibri"/>
        </w:rPr>
      </w:pPr>
      <w:r w:rsidRPr="002F77BE">
        <w:rPr>
          <w:rFonts w:ascii="Calibri" w:eastAsia="MS Mincho" w:hAnsi="Calibri" w:cs="Calibri"/>
        </w:rPr>
        <w:t xml:space="preserve">Research indicates that in order for selective intervention to be successful there must be elements of gender specificity, a target population, a theoretical foundation, cultural and historical congruence, skill-building components, and well-defined goals </w:t>
      </w:r>
      <w:r w:rsidRPr="002F77BE">
        <w:rPr>
          <w:rFonts w:ascii="Calibri" w:eastAsia="MS Mincho" w:hAnsi="Calibri" w:cs="Calibri"/>
        </w:rPr>
        <w:fldChar w:fldCharType="begin" w:fldLock="1"/>
      </w:r>
      <w:r w:rsidRPr="002F77BE">
        <w:rPr>
          <w:rFonts w:ascii="Calibri" w:eastAsia="MS Mincho" w:hAnsi="Calibri" w:cs="Calibri"/>
        </w:rPr>
        <w:instrText>ADDIN CSL_CITATION {"citationItems":[{"id":"ITEM-1","itemData":{"DOI":"10.2105/AJPH.2008.140558","ISBN":"0090-0036","ISSN":"00900036","abstract":"Few HIV prevention interventions have been developed for African American men who have sex with men or who have sex with both men and women. Many interventions neglect the historical, structural or institutional, and sociocultural factors that hinder or support risk reduction in this high-risk group. We examined ways to incorporate these factors into Men of African American Legacy Empowering Self, a culturally congruent HIV intervention targeting African American men who have sex with men and women. We also studied how to apply key elements from successful interventions to future efforts. These elements include having gender specificity, a target population, a theoretical foundation, cultural and historical congruence, skill-building components, and well-defined goals.","author":[{"dropping-particle":"","family":"Williams","given":"John K.","non-dropping-particle":"","parse-names":false,"suffix":""},{"dropping-particle":"","family":"Ramamurthi","given":"Hema C.","non-dropping-particle":"","parse-names":false,"suffix":""},{"dropping-particle":"","family":"Manago","given":"Cleo","non-dropping-particle":"","parse-names":false,"suffix":""},{"dropping-particle":"","family":"Harawa","given":"Nina T.","non-dropping-particle":"","parse-names":false,"suffix":""}],"container-title":"American Journal of Public Health","id":"ITEM-1","issue":"6","issued":{"date-parts":[["2009"]]},"page":"1008-1012","title":"Learning from successful interventions: A culturally congruent HIV risk - Reduction intervention for African American men who have sex with men and women","type":"article-journal","volume":"99"},"locator":"1008","uris":["http://www.mendeley.com/documents/?uuid=f6b40032-24f6-4824-abce-3860a5faa0c9"]}],"mendeley":{"formattedCitation":"(Williams &lt;i&gt;et al.&lt;/i&gt;, 2009, p. 1008)","plainTextFormattedCitation":"(Williams et al., 2009, p. 1008)","previouslyFormattedCitation":"(Williams &lt;i&gt;et al.&lt;/i&gt;, 2009, p. 1008)"},"properties":{"noteIndex":0},"schema":"https://github.com/citation-style-language/schema/raw/master/csl-citation.json"}</w:instrText>
      </w:r>
      <w:r w:rsidRPr="002F77BE">
        <w:rPr>
          <w:rFonts w:ascii="Calibri" w:eastAsia="MS Mincho" w:hAnsi="Calibri" w:cs="Calibri"/>
        </w:rPr>
        <w:fldChar w:fldCharType="separate"/>
      </w:r>
      <w:r w:rsidRPr="002F77BE">
        <w:rPr>
          <w:rFonts w:ascii="Calibri" w:eastAsia="MS Mincho" w:hAnsi="Calibri" w:cs="Calibri"/>
        </w:rPr>
        <w:t xml:space="preserve">(Williams </w:t>
      </w:r>
      <w:r w:rsidR="0080697E" w:rsidRPr="0080697E">
        <w:rPr>
          <w:rFonts w:ascii="Calibri" w:eastAsia="MS Mincho" w:hAnsi="Calibri" w:cs="Calibri"/>
          <w:i/>
          <w:iCs/>
        </w:rPr>
        <w:t>et al</w:t>
      </w:r>
      <w:r w:rsidRPr="002F77BE">
        <w:rPr>
          <w:rFonts w:ascii="Calibri" w:eastAsia="MS Mincho" w:hAnsi="Calibri" w:cs="Calibri"/>
        </w:rPr>
        <w:t>., 2009, p.1008)</w:t>
      </w:r>
      <w:r w:rsidRPr="002F77BE">
        <w:rPr>
          <w:rFonts w:ascii="Calibri" w:eastAsia="MS Mincho" w:hAnsi="Calibri" w:cs="Calibri"/>
        </w:rPr>
        <w:fldChar w:fldCharType="end"/>
      </w:r>
      <w:r w:rsidRPr="002F77BE">
        <w:rPr>
          <w:rFonts w:ascii="Calibri" w:eastAsia="MS Mincho" w:hAnsi="Calibri" w:cs="Calibri"/>
        </w:rPr>
        <w:t xml:space="preserve">.  The system must be able to ‘adapt to different risk levels using the risk principle’ </w:t>
      </w:r>
      <w:r w:rsidRPr="002F77BE">
        <w:rPr>
          <w:rFonts w:ascii="Calibri" w:eastAsia="MS Mincho" w:hAnsi="Calibri" w:cs="Calibri"/>
        </w:rPr>
        <w:fldChar w:fldCharType="begin" w:fldLock="1"/>
      </w:r>
      <w:r w:rsidRPr="002F77BE">
        <w:rPr>
          <w:rFonts w:ascii="Calibri" w:eastAsia="MS Mincho" w:hAnsi="Calibri" w:cs="Calibri"/>
        </w:rPr>
        <w:instrText>ADDIN CSL_CITATION {"citationItems":[{"id":"ITEM-1","itemData":{"author":[{"dropping-particle":"","family":"Baldwin","given":"Molly","non-dropping-particle":"","parse-names":false,"suffix":""},{"dropping-particle":"","family":"Zeira","given":"Yotam","non-dropping-particle":"","parse-names":false,"suffix":""}],"id":"ITEM-1","issue":"5","issued":{"date-parts":[["2017"]]},"title":"New Thinking in Community Corrections Executive Session on Community Corrections","type":"article-journal"},"locator":"4","uris":["http://www.mendeley.com/documents/?uuid=c0a6f3cb-303d-4a5f-b99d-fefdf225e933"]}],"mendeley":{"formattedCitation":"(Baldwin and Zeira, 2017, p. 4)","plainTextFormattedCitation":"(Baldwin and Zeira, 2017, p. 4)","previouslyFormattedCitation":"(Baldwin and Zeira, 2017, p. 4)"},"properties":{"noteIndex":0},"schema":"https://github.com/citation-style-language/schema/raw/master/csl-citation.json"}</w:instrText>
      </w:r>
      <w:r w:rsidRPr="002F77BE">
        <w:rPr>
          <w:rFonts w:ascii="Calibri" w:eastAsia="MS Mincho" w:hAnsi="Calibri" w:cs="Calibri"/>
        </w:rPr>
        <w:fldChar w:fldCharType="separate"/>
      </w:r>
      <w:r w:rsidRPr="002F77BE">
        <w:rPr>
          <w:rFonts w:ascii="Calibri" w:eastAsia="MS Mincho" w:hAnsi="Calibri" w:cs="Calibri"/>
        </w:rPr>
        <w:t>(Baldwin and Zeira, 2017, p.4)</w:t>
      </w:r>
      <w:r w:rsidRPr="002F77BE">
        <w:rPr>
          <w:rFonts w:ascii="Calibri" w:eastAsia="MS Mincho" w:hAnsi="Calibri" w:cs="Calibri"/>
        </w:rPr>
        <w:fldChar w:fldCharType="end"/>
      </w:r>
      <w:r w:rsidRPr="002F77BE">
        <w:rPr>
          <w:rFonts w:ascii="Calibri" w:eastAsia="MS Mincho" w:hAnsi="Calibri" w:cs="Calibri"/>
        </w:rPr>
        <w:t>, thereby being population specific and well resourced. Any evaluation of services must take these elements into consideration when ‘measuring’ for success.</w:t>
      </w:r>
    </w:p>
    <w:p w14:paraId="31454A23" w14:textId="77777777" w:rsidR="0079774D" w:rsidRPr="002F77BE" w:rsidRDefault="0079774D" w:rsidP="0079774D">
      <w:pPr>
        <w:spacing w:line="360" w:lineRule="auto"/>
        <w:rPr>
          <w:rFonts w:ascii="Calibri" w:eastAsia="MS Mincho" w:hAnsi="Calibri" w:cs="Calibri"/>
        </w:rPr>
      </w:pPr>
    </w:p>
    <w:p w14:paraId="4A39F263" w14:textId="77777777" w:rsidR="0079774D" w:rsidRPr="002F77BE" w:rsidRDefault="0079774D" w:rsidP="0079774D">
      <w:pPr>
        <w:spacing w:line="360" w:lineRule="auto"/>
        <w:rPr>
          <w:rFonts w:ascii="Calibri" w:eastAsia="MS Mincho" w:hAnsi="Calibri" w:cs="Calibri"/>
        </w:rPr>
      </w:pPr>
      <w:r>
        <w:rPr>
          <w:rFonts w:ascii="Calibri" w:eastAsia="MS Mincho" w:hAnsi="Calibri" w:cs="Calibri"/>
        </w:rPr>
        <w:t>L</w:t>
      </w:r>
      <w:r w:rsidRPr="002F77BE">
        <w:rPr>
          <w:rFonts w:ascii="Calibri" w:eastAsia="MS Mincho" w:hAnsi="Calibri" w:cs="Calibri"/>
        </w:rPr>
        <w:t xml:space="preserve">onger term investments and repeated exposure </w:t>
      </w:r>
      <w:r w:rsidRPr="002F77BE">
        <w:rPr>
          <w:rFonts w:ascii="Calibri" w:eastAsia="MS Mincho" w:hAnsi="Calibri" w:cs="Calibri"/>
        </w:rPr>
        <w:fldChar w:fldCharType="begin" w:fldLock="1"/>
      </w:r>
      <w:r w:rsidRPr="002F77BE">
        <w:rPr>
          <w:rFonts w:ascii="Calibri" w:eastAsia="MS Mincho" w:hAnsi="Calibri" w:cs="Calibri"/>
        </w:rPr>
        <w:instrText>ADDIN CSL_CITATION {"citationItems":[{"id":"ITEM-1","itemData":{"DOI":"10.1016/j.jadohealth.2014.08.012","ISBN":"1054-139X","ISSN":"18791972","PMID":"25528978","abstract":"Intimate partner violence (IPV) and sexual violence (SV) are widespread among adolescents and place them on a lifelong trajectory of violence, either as victims or perpetrators. The aim of this review was to identify effective approaches to prevent adolescent IPV and SV and to identify critical knowledge gaps. The interventions reviewed in this article reflect the global focus on interventions addressing violence perpetrated by men against women in the context of heterosexual relationships. Interventions for girls and boys (10-19 years) were identified through electronic searches for peer-reviewed and gray literature such as reports and research briefs. Studies were excluded if they were published before 1990 or did not disaggregate participants and results by age. Programs were classified as \"effective,\" \"emerging,\" \"ineffective,\" or \"unclear\" based on the strength of evidence, generalizability of results to developing country settings, and replication beyond the initial pilot. Programs were considered \"effective\" if they were evaluated with well-designed studies, which controlled for threats to validity through randomization of participants. A review of 142 articles and documents yielded 61 interventions, which aimed to prevent IPV and SV among adolescents. These were categorized as \"parenting\" (n = 8), \"targeted interventions for children and adolescents subjected to maltreatment\" (n = 3), \"school based\" (n = 31; including 10 interventions to prevent sexual assault among university students), \"community based\" (n = 16), and \"economic empowerment\" (n = 2). The rigor of the evaluations varies greatly. A good number have relatively weak research designs, short follow-up periods, and low or unreported retention rates. Overall, there is a lack of robust standardized measures for behavioral outcomes. Three promising approaches emerge. First, school-based dating violence interventions show considerable success. However, they have only been implemented in high-income countries and should be adapted and evaluated in other settings. Second, community-based interventions to form gender equitable attitudes among boys and girls have successfully prevented IPV or SV. Third, evidence suggests that parenting interventions and interventions with children and adolescents subjected to maltreatment hold promise in preventing IPV or SV by addressing child maltreatment, which is a risk factor for later perpetration or experience of IPV or SV. Results suggest that programs…","author":[{"dropping-particle":"","family":"Lundgren","given":"Rebecka","non-dropping-particle":"","parse-names":false,"suffix":""},{"dropping-particle":"","family":"Amin","given":"Avni","non-dropping-particle":"","parse-names":false,"suffix":""}],"container-title":"Journal of Adolescent Health","id":"ITEM-1","issue":"1","issued":{"date-parts":[["2015"]]},"page":"S42-S50","publisher":"Elsevier Inc.","title":"Addressing intimate partner violence and sexual violence among adolescents: Emerging evidence of effectiveness","type":"article-journal","volume":"56"},"uris":["http://www.mendeley.com/documents/?uuid=039bf644-7c03-4e59-9624-6968386c9831"]}],"mendeley":{"formattedCitation":"(Lundgren and Amin, 2015)","plainTextFormattedCitation":"(Lundgren and Amin, 2015)","previouslyFormattedCitation":"(Lundgren and Amin, 2015)"},"properties":{"noteIndex":0},"schema":"https://github.com/citation-style-language/schema/raw/master/csl-citation.json"}</w:instrText>
      </w:r>
      <w:r w:rsidRPr="002F77BE">
        <w:rPr>
          <w:rFonts w:ascii="Calibri" w:eastAsia="MS Mincho" w:hAnsi="Calibri" w:cs="Calibri"/>
        </w:rPr>
        <w:fldChar w:fldCharType="separate"/>
      </w:r>
      <w:r w:rsidRPr="002F77BE">
        <w:rPr>
          <w:rFonts w:ascii="Calibri" w:eastAsia="MS Mincho" w:hAnsi="Calibri" w:cs="Calibri"/>
        </w:rPr>
        <w:t>(Lundgren and Amin, 2015)</w:t>
      </w:r>
      <w:r w:rsidRPr="002F77BE">
        <w:rPr>
          <w:rFonts w:ascii="Calibri" w:eastAsia="MS Mincho" w:hAnsi="Calibri" w:cs="Calibri"/>
        </w:rPr>
        <w:fldChar w:fldCharType="end"/>
      </w:r>
      <w:r w:rsidRPr="002F77BE">
        <w:rPr>
          <w:rFonts w:ascii="Calibri" w:eastAsia="MS Mincho" w:hAnsi="Calibri" w:cs="Calibri"/>
        </w:rPr>
        <w:t xml:space="preserve"> to ideas delivered in different settings over time </w:t>
      </w:r>
      <w:r>
        <w:rPr>
          <w:rFonts w:ascii="Calibri" w:eastAsia="MS Mincho" w:hAnsi="Calibri" w:cs="Calibri"/>
        </w:rPr>
        <w:t>are regarded as improving</w:t>
      </w:r>
      <w:r w:rsidRPr="002F77BE">
        <w:rPr>
          <w:rFonts w:ascii="Calibri" w:eastAsia="MS Mincho" w:hAnsi="Calibri" w:cs="Calibri"/>
        </w:rPr>
        <w:t xml:space="preserve"> </w:t>
      </w:r>
      <w:r>
        <w:rPr>
          <w:rFonts w:ascii="Calibri" w:eastAsia="MS Mincho" w:hAnsi="Calibri" w:cs="Calibri"/>
        </w:rPr>
        <w:t>outcomes</w:t>
      </w:r>
      <w:r w:rsidRPr="002F77BE">
        <w:rPr>
          <w:rFonts w:ascii="Calibri" w:eastAsia="MS Mincho" w:hAnsi="Calibri" w:cs="Calibri"/>
        </w:rPr>
        <w:t xml:space="preserve"> than single awareness-raising or discussion sessions. Contemporary local examples of this approach may be drawn from Brighton and Hove adult services models; such as ‘Housing First ‘which uses this principle for accommodating rough sleepers and single homeless people; and methods employed by Big Lottery funded third sector project ‘Fulfilling Lives’ where workers who take on a low caseload but with high intensity application of resources, so that individuals may be supported in a long term and person-centred way. </w:t>
      </w:r>
    </w:p>
    <w:p w14:paraId="2C14995B" w14:textId="77777777" w:rsidR="0079774D" w:rsidRPr="002F77BE" w:rsidRDefault="0079774D" w:rsidP="0079774D">
      <w:pPr>
        <w:spacing w:line="360" w:lineRule="auto"/>
        <w:rPr>
          <w:rFonts w:ascii="Calibri" w:eastAsia="MS Mincho" w:hAnsi="Calibri" w:cs="Calibri"/>
        </w:rPr>
      </w:pPr>
    </w:p>
    <w:p w14:paraId="2D4C0649" w14:textId="2E294DC0" w:rsidR="0079774D" w:rsidRPr="002F77BE" w:rsidRDefault="0079774D" w:rsidP="0079774D">
      <w:pPr>
        <w:spacing w:line="360" w:lineRule="auto"/>
        <w:rPr>
          <w:rFonts w:ascii="Calibri" w:eastAsia="MS Mincho" w:hAnsi="Calibri" w:cs="Calibri"/>
        </w:rPr>
      </w:pPr>
      <w:r w:rsidRPr="002F77BE">
        <w:rPr>
          <w:rFonts w:ascii="Calibri" w:eastAsia="MS Mincho" w:hAnsi="Calibri" w:cs="Calibri"/>
        </w:rPr>
        <w:t xml:space="preserve">A systematic review </w:t>
      </w:r>
      <w:r w:rsidRPr="002F77BE">
        <w:rPr>
          <w:rFonts w:ascii="Calibri" w:eastAsia="MS Mincho" w:hAnsi="Calibri" w:cs="Calibri"/>
        </w:rPr>
        <w:fldChar w:fldCharType="begin" w:fldLock="1"/>
      </w:r>
      <w:r w:rsidRPr="002F77BE">
        <w:rPr>
          <w:rFonts w:ascii="Calibri" w:eastAsia="MS Mincho" w:hAnsi="Calibri" w:cs="Calibri"/>
        </w:rPr>
        <w:instrText>ADDIN CSL_CITATION {"citationItems":[{"id":"ITEM-1","itemData":{"DOI":"10.1111/j.1360-0443.2011.03751.x","ISBN":"0965-2140, 0965-2140","ISSN":"09652140","PMID":"22151546","abstract":"Aims To identify and assess the effectiveness of experimental studies of interventions that report on multiple risk behaviour outcomes in young people. Methods A systematic review was performed to identify experimental studies of interventions to reduce risk behaviour in adolescents or young adults and that reported on both any substance (alcohol, tobacco and illicit drug) use and sexual risk behaviour outcomes. Two authors reviewed studies independently identified through a comprehensive search strategy and assessed the quality of included studies. The report was prepared in accordance with the Preferred Reporting Items for Systematic Reviews and Meta-Analyses (PRISMA) guidelines. Results From 1129 papers, 18 experimental studies met our inclusion criteria, 13 of which were assigned a strong or moderate quality rating. The substantial heterogeneity between studies precluded the pooling of results to give summary estimates. Intervention effects were mixed, with most programmes having a significant effect on some outcomes, but not others. The most promising interventions addressed multiple domains (individual and peer, family, school and community) of risk and protective factors for risk behaviour. Programmes that addressed just one domain were generally less effective in preventing multiple risk behaviour. Conclusions There is some, albeit limited, evidence that programmes to reduce multiple risk behaviours in school children can be effective, the most promising programmes being those that address multiple domains of influence on risk behaviour. Intervening in the mid-childhood school years may have an impact on later risk behaviour, but further research is needed to determine the effectiveness of this approach.","author":[{"dropping-particle":"","family":"Jackson","given":"Caroline","non-dropping-particle":"","parse-names":false,"suffix":""},{"dropping-particle":"","family":"Geddes","given":"Rosemary","non-dropping-particle":"","parse-names":false,"suffix":""},{"dropping-particle":"","family":"Haw","given":"Sally","non-dropping-particle":"","parse-names":false,"suffix":""},{"dropping-particle":"","family":"Frank","given":"John","non-dropping-particle":"","parse-names":false,"suffix":""}],"container-title":"Addiction","id":"ITEM-1","issue":"4","issued":{"date-parts":[["2012"]]},"page":"733-747","title":"Interventions to prevent substance use and risky sexual behaviour in young people: A systematic review","type":"article-journal","volume":"107"},"uris":["http://www.mendeley.com/documents/?uuid=87d62df0-5826-4031-b08f-d4c522a03ea7","http://www.mendeley.com/documents/?uuid=54ee8340-b278-4042-865c-dc241fb34ed3"]}],"mendeley":{"formattedCitation":"(Jackson &lt;i&gt;et al.&lt;/i&gt;, 2012)","plainTextFormattedCitation":"(Jackson et al., 2012)","previouslyFormattedCitation":"(Jackson &lt;i&gt;et al.&lt;/i&gt;, 2012)"},"properties":{"noteIndex":0},"schema":"https://github.com/citation-style-language/schema/raw/master/csl-citation.json"}</w:instrText>
      </w:r>
      <w:r w:rsidRPr="002F77BE">
        <w:rPr>
          <w:rFonts w:ascii="Calibri" w:eastAsia="MS Mincho" w:hAnsi="Calibri" w:cs="Calibri"/>
        </w:rPr>
        <w:fldChar w:fldCharType="separate"/>
      </w:r>
      <w:r w:rsidRPr="002F77BE">
        <w:rPr>
          <w:rFonts w:ascii="Calibri" w:eastAsia="MS Mincho" w:hAnsi="Calibri" w:cs="Calibri"/>
        </w:rPr>
        <w:t xml:space="preserve">(Jackson </w:t>
      </w:r>
      <w:r w:rsidR="0080697E" w:rsidRPr="0080697E">
        <w:rPr>
          <w:rFonts w:ascii="Calibri" w:eastAsia="MS Mincho" w:hAnsi="Calibri" w:cs="Calibri"/>
          <w:i/>
          <w:iCs/>
        </w:rPr>
        <w:t>et al.,</w:t>
      </w:r>
      <w:r w:rsidRPr="002F77BE">
        <w:rPr>
          <w:rFonts w:ascii="Calibri" w:eastAsia="MS Mincho" w:hAnsi="Calibri" w:cs="Calibri"/>
        </w:rPr>
        <w:t xml:space="preserve"> 2012)</w:t>
      </w:r>
      <w:r w:rsidRPr="002F77BE">
        <w:rPr>
          <w:rFonts w:ascii="Calibri" w:eastAsia="MS Mincho" w:hAnsi="Calibri" w:cs="Calibri"/>
        </w:rPr>
        <w:fldChar w:fldCharType="end"/>
      </w:r>
      <w:r w:rsidRPr="002F77BE">
        <w:rPr>
          <w:rFonts w:ascii="Calibri" w:eastAsia="MS Mincho" w:hAnsi="Calibri" w:cs="Calibri"/>
        </w:rPr>
        <w:t xml:space="preserve"> reports on interventions to reduce risk behaviour related to any substance (alcohol, tobacco and illicit drug) use and sexual risk behaviour outcomes in young people. The most effective programmes were found to be those that address multiple domains of influence on risk behaviour. Programmes that impacted upon both </w:t>
      </w:r>
      <w:r w:rsidRPr="002F77BE">
        <w:rPr>
          <w:rFonts w:ascii="Calibri" w:eastAsia="MS Mincho" w:hAnsi="Calibri" w:cs="Calibri"/>
        </w:rPr>
        <w:lastRenderedPageBreak/>
        <w:t xml:space="preserve">substance use and sexual risk behaviour were ‘complex interventions that targeted more than one domain of risk/protective factors.’ </w:t>
      </w:r>
      <w:r w:rsidRPr="002F77BE">
        <w:rPr>
          <w:rFonts w:ascii="Calibri" w:eastAsia="MS Mincho" w:hAnsi="Calibri" w:cs="Calibri"/>
        </w:rPr>
        <w:fldChar w:fldCharType="begin" w:fldLock="1"/>
      </w:r>
      <w:r w:rsidRPr="002F77BE">
        <w:rPr>
          <w:rFonts w:ascii="Calibri" w:eastAsia="MS Mincho" w:hAnsi="Calibri" w:cs="Calibri"/>
        </w:rPr>
        <w:instrText>ADDIN CSL_CITATION {"citationItems":[{"id":"ITEM-1","itemData":{"DOI":"10.1111/j.1360-0443.2011.03751.x","ISBN":"0965-2140, 0965-2140","ISSN":"09652140","PMID":"22151546","abstract":"Aims To identify and assess the effectiveness of experimental studies of interventions that report on multiple risk behaviour outcomes in young people. Methods A systematic review was performed to identify experimental studies of interventions to reduce risk behaviour in adolescents or young adults and that reported on both any substance (alcohol, tobacco and illicit drug) use and sexual risk behaviour outcomes. Two authors reviewed studies independently identified through a comprehensive search strategy and assessed the quality of included studies. The report was prepared in accordance with the Preferred Reporting Items for Systematic Reviews and Meta-Analyses (PRISMA) guidelines. Results From 1129 papers, 18 experimental studies met our inclusion criteria, 13 of which were assigned a strong or moderate quality rating. The substantial heterogeneity between studies precluded the pooling of results to give summary estimates. Intervention effects were mixed, with most programmes having a significant effect on some outcomes, but not others. The most promising interventions addressed multiple domains (individual and peer, family, school and community) of risk and protective factors for risk behaviour. Programmes that addressed just one domain were generally less effective in preventing multiple risk behaviour. Conclusions There is some, albeit limited, evidence that programmes to reduce multiple risk behaviours in school children can be effective, the most promising programmes being those that address multiple domains of influence on risk behaviour. Intervening in the mid-childhood school years may have an impact on later risk behaviour, but further research is needed to determine the effectiveness of this approach.","author":[{"dropping-particle":"","family":"Jackson","given":"Caroline","non-dropping-particle":"","parse-names":false,"suffix":""},{"dropping-particle":"","family":"Geddes","given":"Rosemary","non-dropping-particle":"","parse-names":false,"suffix":""},{"dropping-particle":"","family":"Haw","given":"Sally","non-dropping-particle":"","parse-names":false,"suffix":""},{"dropping-particle":"","family":"Frank","given":"John","non-dropping-particle":"","parse-names":false,"suffix":""}],"container-title":"Addiction","id":"ITEM-1","issue":"4","issued":{"date-parts":[["2012"]]},"page":"733-747","title":"Interventions to prevent substance use and risky sexual behaviour in young people: A systematic review","type":"article-journal","volume":"107"},"uris":["http://www.mendeley.com/documents/?uuid=87d62df0-5826-4031-b08f-d4c522a03ea7","http://www.mendeley.com/documents/?uuid=54ee8340-b278-4042-865c-dc241fb34ed3"]}],"mendeley":{"formattedCitation":"(Jackson &lt;i&gt;et al.&lt;/i&gt;, 2012)","plainTextFormattedCitation":"(Jackson et al., 2012)","previouslyFormattedCitation":"(Jackson &lt;i&gt;et al.&lt;/i&gt;, 2012)"},"properties":{"noteIndex":0},"schema":"https://github.com/citation-style-language/schema/raw/master/csl-citation.json"}</w:instrText>
      </w:r>
      <w:r w:rsidRPr="002F77BE">
        <w:rPr>
          <w:rFonts w:ascii="Calibri" w:eastAsia="MS Mincho" w:hAnsi="Calibri" w:cs="Calibri"/>
        </w:rPr>
        <w:fldChar w:fldCharType="separate"/>
      </w:r>
      <w:r w:rsidRPr="002F77BE">
        <w:rPr>
          <w:rFonts w:ascii="Calibri" w:eastAsia="MS Mincho" w:hAnsi="Calibri" w:cs="Calibri"/>
        </w:rPr>
        <w:t xml:space="preserve">(Jackson </w:t>
      </w:r>
      <w:r w:rsidR="0080697E" w:rsidRPr="0080697E">
        <w:rPr>
          <w:rFonts w:ascii="Calibri" w:eastAsia="MS Mincho" w:hAnsi="Calibri" w:cs="Calibri"/>
          <w:i/>
          <w:iCs/>
        </w:rPr>
        <w:t>et al</w:t>
      </w:r>
      <w:r w:rsidRPr="0080697E">
        <w:rPr>
          <w:rFonts w:ascii="Calibri" w:eastAsia="MS Mincho" w:hAnsi="Calibri" w:cs="Calibri"/>
          <w:i/>
          <w:iCs/>
        </w:rPr>
        <w:t>.,</w:t>
      </w:r>
      <w:r w:rsidRPr="002F77BE">
        <w:rPr>
          <w:rFonts w:ascii="Calibri" w:eastAsia="MS Mincho" w:hAnsi="Calibri" w:cs="Calibri"/>
        </w:rPr>
        <w:t xml:space="preserve"> 2012)</w:t>
      </w:r>
      <w:r w:rsidRPr="002F77BE">
        <w:rPr>
          <w:rFonts w:ascii="Calibri" w:eastAsia="MS Mincho" w:hAnsi="Calibri" w:cs="Calibri"/>
        </w:rPr>
        <w:fldChar w:fldCharType="end"/>
      </w:r>
      <w:r w:rsidRPr="002F77BE">
        <w:rPr>
          <w:rFonts w:ascii="Calibri" w:eastAsia="MS Mincho" w:hAnsi="Calibri" w:cs="Calibri"/>
        </w:rPr>
        <w:t xml:space="preserve">. </w:t>
      </w:r>
    </w:p>
    <w:p w14:paraId="5899EA45" w14:textId="77777777" w:rsidR="0079774D" w:rsidRPr="002F77BE" w:rsidRDefault="0079774D" w:rsidP="0079774D">
      <w:pPr>
        <w:spacing w:line="360" w:lineRule="auto"/>
        <w:rPr>
          <w:rFonts w:ascii="Calibri" w:eastAsia="MS Mincho" w:hAnsi="Calibri" w:cs="Calibri"/>
        </w:rPr>
      </w:pPr>
    </w:p>
    <w:p w14:paraId="23BD4B69" w14:textId="31C0FC8D" w:rsidR="0079774D" w:rsidRDefault="0079774D" w:rsidP="0079774D">
      <w:pPr>
        <w:spacing w:line="360" w:lineRule="auto"/>
        <w:rPr>
          <w:rFonts w:ascii="Calibri" w:eastAsia="MS Mincho" w:hAnsi="Calibri" w:cs="Calibri"/>
        </w:rPr>
      </w:pPr>
      <w:r w:rsidRPr="088F2921">
        <w:rPr>
          <w:rFonts w:ascii="Calibri" w:eastAsia="MS Mincho" w:hAnsi="Calibri" w:cs="Calibri"/>
        </w:rPr>
        <w:t xml:space="preserve">The nature of targeted interventions is dependent on individual service users leading on what they define to be an achievable and desirable intervention for them. A person-centred approach is therefore at the heart of this, along with a commitment from funders not </w:t>
      </w:r>
      <w:r w:rsidR="3A7CEA00" w:rsidRPr="088F2921">
        <w:rPr>
          <w:rFonts w:ascii="Calibri" w:eastAsia="MS Mincho" w:hAnsi="Calibri" w:cs="Calibri"/>
        </w:rPr>
        <w:t xml:space="preserve">to </w:t>
      </w:r>
      <w:r w:rsidRPr="088F2921">
        <w:rPr>
          <w:rFonts w:ascii="Calibri" w:eastAsia="MS Mincho" w:hAnsi="Calibri" w:cs="Calibri"/>
        </w:rPr>
        <w:t>withdraw resources</w:t>
      </w:r>
      <w:r w:rsidR="61EFB66D" w:rsidRPr="088F2921">
        <w:rPr>
          <w:rFonts w:ascii="Calibri" w:eastAsia="MS Mincho" w:hAnsi="Calibri" w:cs="Calibri"/>
        </w:rPr>
        <w:t xml:space="preserve"> even if </w:t>
      </w:r>
      <w:r w:rsidRPr="088F2921">
        <w:rPr>
          <w:rFonts w:ascii="Calibri" w:eastAsia="MS Mincho" w:hAnsi="Calibri" w:cs="Calibri"/>
        </w:rPr>
        <w:t xml:space="preserve">immediate measurable success is not demonstrated.  Approaches service users choose may vary from traditional therapeutic talking approaches but may more often be less obvious. It is not uncommon for people to want to find a way in to exploring difficult experiences and feelings through connecting with nature or animals, for example. Equine-Assisted Therapy (EAL/T) is an approach whereby horses are ‘co-facilitators in therapeutic and learning interventions’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{"citationItems":[{"id":"ITEM-1","itemData":{"author":[{"dropping-particle":"","family":"Burgon","given":"Hannah Louise","non-dropping-particle":"","parse-names":false,"suffix":""}],"id":"ITEM-1","issued":{"date-parts":[["2013"]]},"title":"Horses , mindfulness and the natural environment : observations from a qualitative study with at-risk young people participating in therapeutic horsemanship Horses , Mindfulness and the Natural Environment : Observations From a Qualitative Study with At-R","type":"article-journal"},"locator":"1","uris":["http://www.mendeley.com/documents/?uuid=7ee212e5-d544-412f-8ecc-1c67d645157a"]}],"mendeley":{"formattedCitation":"(Burgon, 2013, p. 1)","plainTextFormattedCitation":"(Burgon, 2013, p. 1)","previouslyFormattedCitation":"(Burgon, 2013, p. 1)"},"properties":{"noteIndex":0},"schema":"https://github.com/citation-style-language/schema/raw/master/csl-citation.json"}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rPr>
        <w:t>(Burgon, 2013, p. 1)</w:t>
      </w:r>
      <w:r w:rsidRPr="088F2921">
        <w:rPr>
          <w:rFonts w:ascii="Calibri" w:eastAsia="MS Mincho" w:hAnsi="Calibri" w:cs="Calibri"/>
        </w:rPr>
        <w:fldChar w:fldCharType="end"/>
      </w:r>
      <w:r w:rsidRPr="088F2921">
        <w:rPr>
          <w:rFonts w:ascii="Calibri" w:eastAsia="MS Mincho" w:hAnsi="Calibri" w:cs="Calibri"/>
        </w:rPr>
        <w:t xml:space="preserve"> and may valuable benefits for young people who are experiencing trust and attachment difficulties. Land-based activities may address issues around mental wellbeing along with physical issues such as obesity without the stigma of the work being called ‘therapy’ </w:t>
      </w:r>
      <w:r w:rsidRPr="088F2921">
        <w:rPr>
          <w:rFonts w:ascii="Calibri" w:eastAsia="MS Mincho" w:hAnsi="Calibri" w:cs="Calibri"/>
        </w:rPr>
        <w:fldChar w:fldCharType="begin" w:fldLock="1"/>
      </w:r>
      <w:r w:rsidRPr="088F2921">
        <w:rPr>
          <w:rFonts w:ascii="Calibri" w:eastAsia="MS Mincho" w:hAnsi="Calibri" w:cs="Calibri"/>
        </w:rPr>
        <w:instrText>ADDIN CSL_CITATION {"citationItems":[{"id":"ITEM-1","itemData":{"DOI":"10.1071/py17149","ISSN":"1448-7527","abstract":"Using a participatory research framework, researchers at the Centre for Rural Health, University of Tasmania, explored the potential of Community Gardens to function as comprehensive primary healthcare (CPHC) environments. Community gardeners, coordinators, volunteers and Neighbourhood House coordinators discussed their understandings of the health benefits of community gardens, how they contribute to broad CPHC aims and the barriers and enablers to greater CPHC contributions in the future. This research identifies therapeutic features of Community Gardens and explores the correlations between these and CPHC. It is concluded that there are strong synergies between the aims and activities of Community Gardens and CPHC. To augment the therapeutic capacity of these sites requires adequate resourcing and skill development, suitable design, funding and policy support, along with innovative partnerships with health professionals.","author":[{"dropping-particle":"","family":"Marsh","given":"Pauline","non-dropping-particle":"","parse-names":false,"suffix":""},{"dropping-particle":"","family":"Brennan","given":"Sebrina","non-dropping-particle":"","parse-names":false,"suffix":""},{"dropping-particle":"","family":"Vandenberg","given":"Miriam","non-dropping-particle":"","parse-names":false,"suffix":""}],"container-title":"Australian Journal of Primary Health","id":"ITEM-1","issue":"4","issued":{"date-parts":[["2018","5","28"]]},"page":"337","publisher":"CSIRO Publishing","title":"'It's not therapy, it's gardening': community gardens as sites of comprehensive primary healthcare","type":"article-journal","volume":"24"},"uris":["http://www.mendeley.com/documents/?uuid=e6e39531-375e-3c95-950f-e3acbe68a31c"]}],"mendeley":{"formattedCitation":"(Marsh, Brennan and Vandenberg, 2018)","plainTextFormattedCitation":"(Marsh, Brennan and Vandenberg, 2018)","previouslyFormattedCitation":"(Marsh, Brennan and Vandenberg, 2018)"},"properties":{"noteIndex":0},"schema":"https://github.com/citation-style-language/schema/raw/master/csl-citation.json"}</w:instrText>
      </w:r>
      <w:r w:rsidRPr="088F2921">
        <w:rPr>
          <w:rFonts w:ascii="Calibri" w:eastAsia="MS Mincho" w:hAnsi="Calibri" w:cs="Calibri"/>
        </w:rPr>
        <w:fldChar w:fldCharType="separate"/>
      </w:r>
      <w:r w:rsidRPr="088F2921">
        <w:rPr>
          <w:rFonts w:ascii="Calibri" w:eastAsia="MS Mincho" w:hAnsi="Calibri" w:cs="Calibri"/>
        </w:rPr>
        <w:t>(Marsh, Brennan and Vandenberg, 2018)</w:t>
      </w:r>
      <w:r w:rsidRPr="088F2921">
        <w:rPr>
          <w:rFonts w:ascii="Calibri" w:eastAsia="MS Mincho" w:hAnsi="Calibri" w:cs="Calibri"/>
        </w:rPr>
        <w:fldChar w:fldCharType="end"/>
      </w:r>
      <w:r w:rsidRPr="088F2921">
        <w:rPr>
          <w:rFonts w:ascii="Calibri" w:eastAsia="MS Mincho" w:hAnsi="Calibri" w:cs="Calibri"/>
        </w:rPr>
        <w:t>.</w:t>
      </w:r>
    </w:p>
    <w:p w14:paraId="3A1C2032" w14:textId="77777777" w:rsidR="00147261" w:rsidRDefault="00147261" w:rsidP="0079774D">
      <w:pPr>
        <w:spacing w:line="360" w:lineRule="auto"/>
        <w:rPr>
          <w:rFonts w:ascii="Calibri" w:eastAsia="MS Mincho" w:hAnsi="Calibri" w:cs="Calibri"/>
        </w:rPr>
      </w:pPr>
    </w:p>
    <w:p w14:paraId="101EDBCD" w14:textId="563F693C" w:rsidR="00147261" w:rsidRDefault="00147261" w:rsidP="088F2921">
      <w:pPr>
        <w:spacing w:line="360" w:lineRule="auto"/>
        <w:rPr>
          <w:rFonts w:asciiTheme="majorHAnsi" w:eastAsia="MS Mincho" w:hAnsiTheme="majorHAnsi" w:cstheme="majorBidi"/>
        </w:rPr>
      </w:pPr>
      <w:r w:rsidRPr="00252AFB">
        <w:rPr>
          <w:rFonts w:asciiTheme="majorHAnsi" w:eastAsia="MS Mincho" w:hAnsiTheme="majorHAnsi" w:cstheme="majorBidi"/>
        </w:rPr>
        <w:t xml:space="preserve">Targeted interventions that emphasize peer support and mentoring </w:t>
      </w:r>
      <w:r w:rsidRPr="088F2921">
        <w:rPr>
          <w:rFonts w:asciiTheme="majorHAnsi" w:eastAsia="MS Mincho" w:hAnsiTheme="majorHAnsi" w:cstheme="majorBidi"/>
        </w:rPr>
        <w:fldChar w:fldCharType="begin"/>
      </w:r>
      <w:r w:rsidRPr="088F2921">
        <w:rPr>
          <w:rFonts w:asciiTheme="majorHAnsi" w:eastAsia="MS Mincho" w:hAnsiTheme="majorHAnsi" w:cstheme="majorBidi"/>
        </w:rPr>
        <w:instrText>ADDIN CSL_CITATION {"citationItems":[{"id":"ITEM-1","itemData":{"DOI":"10.1080/00918369.2016.1179039","ISBN":"1540-3602 (Electronic)\r0091-8369 (Linking)","ISSN":"15403602","PMID":"27092441","abstract":"Young, gay and bisexual men (YGBM) are at increased risk of family rejection, which is related to HIV infection. What remains unknown is how family rejection leads to HIV risk. In this exploratory study, qualitative interviews were conducted with 21 HIV-positive YGBM aged 18 to 24. Most participants reported family rejection, which decreased instrumental and emotional support and resulted in participants using riskier ways to support themselves, such as engaging in survival sex. Conceptualizing the findings using a family systems framework, we present a tentative conceptual model to describe the potential relationships between family rejection and HIV risk for YGBM.","author":[{"dropping-particle":"","family":"Bird","given":"Jason D.P.","non-dropping-particle":"","parse-names":false,"suffix":""},{"dropping-particle":"","family":"LaSala","given":"Michael C.","non-dropping-particle":"","parse-names":false,"suffix":""},{"dropping-particle":"","family":"Hidalgo","given":"Marco A.","non-dropping-particle":"","parse-names":false,"suffix":""},{"dropping-particle":"","family":"Kuhns","given":"Lisa M.","non-dropping-particle":"","parse-names":false,"suffix":""},{"dropping-particle":"","family":"Garofalo","given":"Robert","non-dropping-particle":"","parse-names":false,"suffix":""}],"container-title":"Journal of Homosexuality","id":"ITEM-1","issue":"3","issued":{"date-parts":[["2017"]]},"page":"321-342","publisher":"Routledge","title":"“I Had to Go to the Streets to Get Love”: Pathways From Parental Rejection to HIV Risk Among Young Gay and Bisexual Men","type":"article-journal","volume":"64"},"uris":["http://www.mendeley.com/documents/?uuid=0caa3c17-ed29-4542-8b8a-77038d361728"]}],"mendeley":{"formattedCitation":"(Bird &lt;i&gt;et al.&lt;/i&gt;, 2017)","plainTextFormattedCitation":"(Bird et al., 2017)","previouslyFormattedCitation":"(Bird &lt;i&gt;et al.&lt;/i&gt;, 2017)"},"properties":{"noteIndex":0},"schema":"https://github.com/citation-style-language/schema/raw/master/csl-citation.json"}</w:instrText>
      </w:r>
      <w:r w:rsidRPr="088F2921">
        <w:rPr>
          <w:rFonts w:asciiTheme="majorHAnsi" w:eastAsia="MS Mincho" w:hAnsiTheme="majorHAnsi" w:cstheme="majorBidi"/>
        </w:rPr>
        <w:fldChar w:fldCharType="separate"/>
      </w:r>
      <w:r w:rsidRPr="00252AFB">
        <w:rPr>
          <w:rFonts w:asciiTheme="majorHAnsi" w:eastAsia="MS Mincho" w:hAnsiTheme="majorHAnsi" w:cstheme="majorBidi"/>
          <w:noProof/>
        </w:rPr>
        <w:t xml:space="preserve">(Bird </w:t>
      </w:r>
      <w:r w:rsidR="0080697E" w:rsidRPr="0080697E">
        <w:rPr>
          <w:rFonts w:asciiTheme="majorHAnsi" w:eastAsia="MS Mincho" w:hAnsiTheme="majorHAnsi" w:cstheme="majorBidi"/>
          <w:i/>
          <w:iCs/>
          <w:noProof/>
        </w:rPr>
        <w:t>et al</w:t>
      </w:r>
      <w:r w:rsidRPr="00252AFB">
        <w:rPr>
          <w:rFonts w:asciiTheme="majorHAnsi" w:eastAsia="MS Mincho" w:hAnsiTheme="majorHAnsi" w:cstheme="majorBidi"/>
          <w:noProof/>
        </w:rPr>
        <w:t>., 2017)</w:t>
      </w:r>
      <w:r w:rsidRPr="088F2921">
        <w:rPr>
          <w:rFonts w:asciiTheme="majorHAnsi" w:eastAsia="MS Mincho" w:hAnsiTheme="majorHAnsi" w:cstheme="majorBidi"/>
        </w:rPr>
        <w:fldChar w:fldCharType="end"/>
      </w:r>
      <w:r w:rsidRPr="00252AFB">
        <w:rPr>
          <w:rFonts w:asciiTheme="majorHAnsi" w:eastAsia="MS Mincho" w:hAnsiTheme="majorHAnsi" w:cstheme="majorBidi"/>
        </w:rPr>
        <w:t xml:space="preserve"> can be an important positive influence for young people. For example, the ‘MeeTwo’ app (</w:t>
      </w:r>
      <w:hyperlink r:id="rId15">
        <w:r w:rsidRPr="00252AFB">
          <w:rPr>
            <w:rFonts w:asciiTheme="majorHAnsi" w:eastAsia="MS Mincho" w:hAnsiTheme="majorHAnsi" w:cstheme="majorBidi"/>
            <w:color w:val="0000FF"/>
            <w:u w:val="single"/>
          </w:rPr>
          <w:t>https://www.meetwo.co.uk/</w:t>
        </w:r>
      </w:hyperlink>
      <w:r w:rsidRPr="00252AFB">
        <w:rPr>
          <w:rFonts w:asciiTheme="majorHAnsi" w:eastAsia="MS Mincho" w:hAnsiTheme="majorHAnsi" w:cstheme="majorBidi"/>
        </w:rPr>
        <w:t xml:space="preserve">), is a fully moderated app </w:t>
      </w:r>
      <w:r w:rsidRPr="088F2921">
        <w:rPr>
          <w:rFonts w:asciiTheme="majorHAnsi" w:eastAsia="MS Mincho" w:hAnsiTheme="majorHAnsi" w:cstheme="majorBidi"/>
        </w:rPr>
        <w:t>that</w:t>
      </w:r>
      <w:r w:rsidRPr="00252AFB">
        <w:rPr>
          <w:rFonts w:asciiTheme="majorHAnsi" w:eastAsia="MS Mincho" w:hAnsiTheme="majorHAnsi" w:cstheme="majorBidi"/>
        </w:rPr>
        <w:t xml:space="preserve"> </w:t>
      </w:r>
      <w:r w:rsidRPr="00252AFB">
        <w:rPr>
          <w:rFonts w:asciiTheme="majorHAnsi" w:hAnsiTheme="majorHAnsi" w:cstheme="majorBidi" w:hint="eastAsia"/>
        </w:rPr>
        <w:t xml:space="preserve">affords young people the opportunity to </w:t>
      </w:r>
      <w:r w:rsidRPr="088F2921">
        <w:rPr>
          <w:rFonts w:asciiTheme="majorHAnsi" w:hAnsiTheme="majorHAnsi" w:cstheme="majorBidi"/>
        </w:rPr>
        <w:t>‘</w:t>
      </w:r>
      <w:r w:rsidRPr="00252AFB">
        <w:rPr>
          <w:rFonts w:asciiTheme="majorHAnsi" w:hAnsiTheme="majorHAnsi" w:cstheme="majorBidi" w:hint="eastAsia"/>
        </w:rPr>
        <w:t xml:space="preserve">talk anonymously about difficult things with other people of a similar age or experience’, and to provide support to others, given their own experiences. </w:t>
      </w:r>
      <w:r w:rsidRPr="00252AFB">
        <w:rPr>
          <w:rFonts w:asciiTheme="majorHAnsi" w:eastAsia="MS Mincho" w:hAnsiTheme="majorHAnsi" w:cstheme="majorBidi"/>
        </w:rPr>
        <w:t xml:space="preserve"> </w:t>
      </w:r>
      <w:r w:rsidR="00301C85" w:rsidRPr="088F2921">
        <w:rPr>
          <w:rFonts w:asciiTheme="majorHAnsi" w:eastAsia="MS Mincho" w:hAnsiTheme="majorHAnsi" w:cstheme="majorBidi"/>
        </w:rPr>
        <w:t xml:space="preserve">In their earlier systematic review of literature relating to children and young people who were homeless and/or victims of exploitation, Berkmans </w:t>
      </w:r>
      <w:r w:rsidR="0080697E" w:rsidRPr="0080697E">
        <w:rPr>
          <w:rFonts w:asciiTheme="majorHAnsi" w:eastAsia="MS Mincho" w:hAnsiTheme="majorHAnsi" w:cstheme="majorBidi"/>
          <w:i/>
          <w:iCs/>
        </w:rPr>
        <w:t>et al</w:t>
      </w:r>
      <w:r w:rsidR="0080697E">
        <w:rPr>
          <w:rFonts w:asciiTheme="majorHAnsi" w:eastAsia="MS Mincho" w:hAnsiTheme="majorHAnsi" w:cstheme="majorBidi"/>
        </w:rPr>
        <w:t>.</w:t>
      </w:r>
      <w:proofErr w:type="gramStart"/>
      <w:r w:rsidR="0080697E">
        <w:rPr>
          <w:rFonts w:asciiTheme="majorHAnsi" w:eastAsia="MS Mincho" w:hAnsiTheme="majorHAnsi" w:cstheme="majorBidi"/>
        </w:rPr>
        <w:t xml:space="preserve">, </w:t>
      </w:r>
      <w:r w:rsidR="00301C85" w:rsidRPr="088F2921">
        <w:rPr>
          <w:rFonts w:asciiTheme="majorHAnsi" w:eastAsia="MS Mincho" w:hAnsiTheme="majorHAnsi" w:cstheme="majorBidi"/>
        </w:rPr>
        <w:t xml:space="preserve"> (</w:t>
      </w:r>
      <w:proofErr w:type="gramEnd"/>
      <w:r w:rsidR="00301C85" w:rsidRPr="088F2921">
        <w:rPr>
          <w:rFonts w:asciiTheme="majorHAnsi" w:eastAsia="MS Mincho" w:hAnsiTheme="majorHAnsi" w:cstheme="majorBidi"/>
        </w:rPr>
        <w:t>2012) also advocated the ut</w:t>
      </w:r>
      <w:r w:rsidR="00301C85">
        <w:rPr>
          <w:rFonts w:asciiTheme="majorHAnsi" w:eastAsia="MS Mincho" w:hAnsiTheme="majorHAnsi" w:cstheme="majorBidi"/>
        </w:rPr>
        <w:t>ilis</w:t>
      </w:r>
      <w:r w:rsidR="00301C85" w:rsidRPr="088F2921">
        <w:rPr>
          <w:rFonts w:asciiTheme="majorHAnsi" w:eastAsia="MS Mincho" w:hAnsiTheme="majorHAnsi" w:cstheme="majorBidi"/>
        </w:rPr>
        <w:t xml:space="preserve">ation of peer-to-peer intervention approaches, alongside strong relationships between services and positive supportive relationships with practitioners.  </w:t>
      </w:r>
    </w:p>
    <w:p w14:paraId="702688E1" w14:textId="77777777" w:rsidR="00147261" w:rsidRDefault="00147261" w:rsidP="00252AFB">
      <w:pPr>
        <w:spacing w:line="360" w:lineRule="auto"/>
        <w:rPr>
          <w:rFonts w:asciiTheme="majorHAnsi" w:eastAsia="MS Mincho" w:hAnsiTheme="majorHAnsi" w:cstheme="majorHAnsi"/>
        </w:rPr>
      </w:pPr>
    </w:p>
    <w:p w14:paraId="0AE2F170" w14:textId="1DADD8E1" w:rsidR="00147261" w:rsidRDefault="000935EA" w:rsidP="00147261">
      <w:pPr>
        <w:spacing w:line="360" w:lineRule="auto"/>
        <w:rPr>
          <w:rFonts w:ascii="Calibri" w:eastAsia="MS Mincho" w:hAnsi="Calibri" w:cs="Calibri"/>
        </w:rPr>
      </w:pPr>
      <w:r>
        <w:rPr>
          <w:rFonts w:ascii="Calibri" w:eastAsia="MS Mincho" w:hAnsi="Calibri" w:cs="Calibri"/>
        </w:rPr>
        <w:lastRenderedPageBreak/>
        <w:t>Y</w:t>
      </w:r>
      <w:r w:rsidR="00147261" w:rsidRPr="00055D66">
        <w:rPr>
          <w:rFonts w:ascii="Calibri" w:eastAsia="MS Mincho" w:hAnsi="Calibri" w:cs="Calibri"/>
        </w:rPr>
        <w:t xml:space="preserve">outh sport </w:t>
      </w:r>
      <w:r>
        <w:rPr>
          <w:rFonts w:ascii="Calibri" w:eastAsia="MS Mincho" w:hAnsi="Calibri" w:cs="Calibri"/>
        </w:rPr>
        <w:t xml:space="preserve">has been cited </w:t>
      </w:r>
      <w:r w:rsidR="00147261" w:rsidRPr="00055D66">
        <w:rPr>
          <w:rFonts w:ascii="Calibri" w:eastAsia="MS Mincho" w:hAnsi="Calibri" w:cs="Calibri"/>
        </w:rPr>
        <w:t xml:space="preserve">as a context for supporting </w:t>
      </w:r>
      <w:r>
        <w:rPr>
          <w:rFonts w:ascii="Calibri" w:eastAsia="MS Mincho" w:hAnsi="Calibri" w:cs="Calibri"/>
        </w:rPr>
        <w:t>young men’s</w:t>
      </w:r>
      <w:r w:rsidR="00147261" w:rsidRPr="00055D66">
        <w:rPr>
          <w:rFonts w:ascii="Calibri" w:eastAsia="MS Mincho" w:hAnsi="Calibri" w:cs="Calibri"/>
        </w:rPr>
        <w:t xml:space="preserve"> mental health</w:t>
      </w:r>
      <w:r>
        <w:rPr>
          <w:rFonts w:ascii="Calibri" w:eastAsia="MS Mincho" w:hAnsi="Calibri" w:cs="Calibri"/>
        </w:rPr>
        <w:t xml:space="preserve">. </w:t>
      </w:r>
      <w:r w:rsidR="00147261" w:rsidRPr="00055D66">
        <w:rPr>
          <w:rFonts w:ascii="Calibri" w:eastAsia="MS Mincho" w:hAnsi="Calibri" w:cs="Calibri"/>
        </w:rPr>
        <w:fldChar w:fldCharType="begin" w:fldLock="1"/>
      </w:r>
      <w:r w:rsidR="00147261" w:rsidRPr="00055D66">
        <w:rPr>
          <w:rFonts w:ascii="Calibri" w:eastAsia="MS Mincho" w:hAnsi="Calibri" w:cs="Calibri"/>
        </w:rPr>
        <w:instrText>ADDIN CSL_CITATION {"citationItems":[{"id":"ITEM-1","itemData":{"DOI":"10.1016/j.psychsport.2017.11.008","ISSN":"14690292","abstract":"Objectives The prevalence of mental health problems among adolescents is alarmingly high. With lower rates of accessing services than young women, young men and boys represent a group at high risk of developing mental health problems. Organised sport represents one important, but under-studied, avenue for supporting mental health. This study aimed to explore adolescent males' perspectives on sport as a context for supporting mental health. Design Interpretivist qualitative design. Method Participants were 55 adolescent males aged 12–17 years (M = 14.73; SD = 1.67) who were currently participating in organised basketball, soccer, Australian Rules Football, swimming, cricket, or tennis. Sixteen focus groups were conducted which lasted, on average, 48 min (SD = 9.25). Data were analysed inductively and thematically, with strategies employed to enhance rigour and trustworthiness. Results Findings indicated that these adolescent males perceived sport to be an engaging vehicle for supporting mental health, particularly in teams, and through interest in elite athletes' mental health. They considered coaches and parents/family to be key support individuals. In addition, these adolescents expressed a need to know how to help individuals close to them who may be struggling with a mental health issue. Finally, the participants perceived the need for resources to prevent and cope with mental health issues. Conclusion This study suggests that sport is a promising, and potentially engaging avenue for supporting mental health. Adolescents perceive need for clubs, parents, and coaches to develop knowledge around mental health, and in particular, desire strategies for providing help.","author":[{"dropping-particle":"","family":"Swann","given":"Christian","non-dropping-particle":"","parse-names":false,"suffix":""},{"dropping-particle":"","family":"Telenta","given":"Joanne","non-dropping-particle":"","parse-names":false,"suffix":""},{"dropping-particle":"","family":"Draper","given":"Georgia","non-dropping-particle":"","parse-names":false,"suffix":""},{"dropping-particle":"","family":"Liddle","given":"Sarah","non-dropping-particle":"","parse-names":false,"suffix":""},{"dropping-particle":"","family":"Fogarty","given":"Andrea","non-dropping-particle":"","parse-names":false,"suffix":""},{"dropping-particle":"","family":"Hurley","given":"Diarmuid","non-dropping-particle":"","parse-names":false,"suffix":""},{"dropping-particle":"","family":"Vella","given":"Stewart","non-dropping-particle":"","parse-names":false,"suffix":""}],"container-title":"Psychology of Sport and Exercise","id":"ITEM-1","issue":"August 2017","issued":{"date-parts":[["2018"]]},"page":"55-64","publisher":"Elsevier","title":"Youth sport as a context for supporting mental health: Adolescent male perspectives","type":"article-journal","volume":"35"},"uris":["http://www.mendeley.com/documents/?uuid=dd905507-172c-4e35-ade3-55c5806e38bb"]}],"mendeley":{"formattedCitation":"(Swann &lt;i&gt;et al.&lt;/i&gt;, 2018)","plainTextFormattedCitation":"(Swann et al., 2018)","previouslyFormattedCitation":"(Swann &lt;i&gt;et al.&lt;/i&gt;, 2018)"},"properties":{"noteIndex":0},"schema":"https://github.com/citation-style-language/schema/raw/master/csl-citation.json"}</w:instrText>
      </w:r>
      <w:r w:rsidR="00147261" w:rsidRPr="00055D66">
        <w:rPr>
          <w:rFonts w:ascii="Calibri" w:eastAsia="MS Mincho" w:hAnsi="Calibri" w:cs="Calibri"/>
        </w:rPr>
        <w:fldChar w:fldCharType="separate"/>
      </w:r>
      <w:r w:rsidR="00147261" w:rsidRPr="00055D66">
        <w:rPr>
          <w:rFonts w:ascii="Calibri" w:eastAsia="MS Mincho" w:hAnsi="Calibri" w:cs="Calibri"/>
          <w:noProof/>
        </w:rPr>
        <w:t xml:space="preserve">Swann </w:t>
      </w:r>
      <w:r w:rsidR="0080697E" w:rsidRPr="0080697E">
        <w:rPr>
          <w:rFonts w:ascii="Calibri" w:eastAsia="MS Mincho" w:hAnsi="Calibri" w:cs="Calibri"/>
          <w:i/>
          <w:iCs/>
          <w:noProof/>
        </w:rPr>
        <w:t>et al.,</w:t>
      </w:r>
      <w:r w:rsidR="0080697E">
        <w:rPr>
          <w:rFonts w:ascii="Calibri" w:eastAsia="MS Mincho" w:hAnsi="Calibri" w:cs="Calibri"/>
          <w:noProof/>
        </w:rPr>
        <w:t xml:space="preserve"> </w:t>
      </w:r>
      <w:r>
        <w:rPr>
          <w:rFonts w:ascii="Calibri" w:eastAsia="MS Mincho" w:hAnsi="Calibri" w:cs="Calibri"/>
          <w:noProof/>
        </w:rPr>
        <w:t xml:space="preserve"> (</w:t>
      </w:r>
      <w:r w:rsidR="00147261" w:rsidRPr="00055D66">
        <w:rPr>
          <w:rFonts w:ascii="Calibri" w:eastAsia="MS Mincho" w:hAnsi="Calibri" w:cs="Calibri"/>
          <w:noProof/>
        </w:rPr>
        <w:t>2018)</w:t>
      </w:r>
      <w:r w:rsidR="00147261" w:rsidRPr="00055D66">
        <w:rPr>
          <w:rFonts w:ascii="Calibri" w:eastAsia="MS Mincho" w:hAnsi="Calibri" w:cs="Calibri"/>
        </w:rPr>
        <w:fldChar w:fldCharType="end"/>
      </w:r>
      <w:r>
        <w:rPr>
          <w:rFonts w:ascii="Calibri" w:eastAsia="MS Mincho" w:hAnsi="Calibri" w:cs="Calibri"/>
        </w:rPr>
        <w:t xml:space="preserve"> found that group interview p</w:t>
      </w:r>
      <w:r w:rsidR="00147261" w:rsidRPr="00055D66">
        <w:rPr>
          <w:rFonts w:ascii="Calibri" w:eastAsia="MS Mincho" w:hAnsi="Calibri" w:cs="Calibri"/>
        </w:rPr>
        <w:t>articipants</w:t>
      </w:r>
      <w:r>
        <w:rPr>
          <w:rFonts w:ascii="Calibri" w:eastAsia="MS Mincho" w:hAnsi="Calibri" w:cs="Calibri"/>
        </w:rPr>
        <w:t xml:space="preserve"> – young men aged 12-17 years –</w:t>
      </w:r>
      <w:r w:rsidR="00147261" w:rsidRPr="00055D66">
        <w:rPr>
          <w:rFonts w:ascii="Calibri" w:eastAsia="MS Mincho" w:hAnsi="Calibri" w:cs="Calibri"/>
        </w:rPr>
        <w:t xml:space="preserve"> perceived sport as a context that could be engaging for supporting mental health. They ﻿discussed the importance of team-mates/friends, and the environment as creating the best atmosphere to learn new things and thereby ﻿addressing ‘masculine stigma’ surrounding mental health. The participants also ﻿reported the therapeutic effects of sport, where they could get away from stressors. ﻿However, it should not be assumed that sport has a solely positive influence on mental health, as associated issues relating to performance and injury are prevalent in the mental health model of sport performance </w:t>
      </w:r>
      <w:r w:rsidR="00147261" w:rsidRPr="00055D66">
        <w:rPr>
          <w:rFonts w:ascii="Calibri" w:eastAsia="MS Mincho" w:hAnsi="Calibri" w:cs="Calibri"/>
        </w:rPr>
        <w:fldChar w:fldCharType="begin" w:fldLock="1"/>
      </w:r>
      <w:r w:rsidR="00147261" w:rsidRPr="00055D66">
        <w:rPr>
          <w:rFonts w:ascii="Calibri" w:eastAsia="MS Mincho" w:hAnsi="Calibri" w:cs="Calibri"/>
        </w:rPr>
        <w:instrText>ADDIN CSL_CITATION {"citationItems":[{"id":"ITEM-1","itemData":{"DOI":"10.1016/j.psychsport.2017.11.008","ISSN":"14690292","abstract":"Objectives The prevalence of mental health problems among adolescents is alarmingly high. With lower rates of accessing services than young women, young men and boys represent a group at high risk of developing mental health problems. Organised sport represents one important, but under-studied, avenue for supporting mental health. This study aimed to explore adolescent males' perspectives on sport as a context for supporting mental health. Design Interpretivist qualitative design. Method Participants were 55 adolescent males aged 12–17 years (M = 14.73; SD = 1.67) who were currently participating in organised basketball, soccer, Australian Rules Football, swimming, cricket, or tennis. Sixteen focus groups were conducted which lasted, on average, 48 min (SD = 9.25). Data were analysed inductively and thematically, with strategies employed to enhance rigour and trustworthiness. Results Findings indicated that these adolescent males perceived sport to be an engaging vehicle for supporting mental health, particularly in teams, and through interest in elite athletes' mental health. They considered coaches and parents/family to be key support individuals. In addition, these adolescents expressed a need to know how to help individuals close to them who may be struggling with a mental health issue. Finally, the participants perceived the need for resources to prevent and cope with mental health issues. Conclusion This study suggests that sport is a promising, and potentially engaging avenue for supporting mental health. Adolescents perceive need for clubs, parents, and coaches to develop knowledge around mental health, and in particular, desire strategies for providing help.","author":[{"dropping-particle":"","family":"Swann","given":"Christian","non-dropping-particle":"","parse-names":false,"suffix":""},{"dropping-particle":"","family":"Telenta","given":"Joanne","non-dropping-particle":"","parse-names":false,"suffix":""},{"dropping-particle":"","family":"Draper","given":"Georgia","non-dropping-particle":"","parse-names":false,"suffix":""},{"dropping-particle":"","family":"Liddle","given":"Sarah","non-dropping-particle":"","parse-names":false,"suffix":""},{"dropping-particle":"","family":"Fogarty","given":"Andrea","non-dropping-particle":"","parse-names":false,"suffix":""},{"dropping-particle":"","family":"Hurley","given":"Diarmuid","non-dropping-particle":"","parse-names":false,"suffix":""},{"dropping-particle":"","family":"Vella","given":"Stewart","non-dropping-particle":"","parse-names":false,"suffix":""}],"container-title":"Psychology of Sport and Exercise","id":"ITEM-1","issue":"August 2017","issued":{"date-parts":[["2018"]]},"page":"55-64","publisher":"Elsevier","title":"Youth sport as a context for supporting mental health: Adolescent male perspectives","type":"article-journal","volume":"35"},"locator":"62","uris":["http://www.mendeley.com/documents/?uuid=dd905507-172c-4e35-ade3-55c5806e38bb"]}],"mendeley":{"formattedCitation":"(Swann &lt;i&gt;et al.&lt;/i&gt;, 2018, p. 62)","plainTextFormattedCitation":"(Swann et al., 2018, p. 62)","previouslyFormattedCitation":"(Swann &lt;i&gt;et al.&lt;/i&gt;, 2018, p. 62)"},"properties":{"noteIndex":0},"schema":"https://github.com/citation-style-language/schema/raw/master/csl-citation.json"}</w:instrText>
      </w:r>
      <w:r w:rsidR="00147261" w:rsidRPr="00055D66">
        <w:rPr>
          <w:rFonts w:ascii="Calibri" w:eastAsia="MS Mincho" w:hAnsi="Calibri" w:cs="Calibri"/>
        </w:rPr>
        <w:fldChar w:fldCharType="separate"/>
      </w:r>
      <w:r w:rsidR="00147261" w:rsidRPr="00055D66">
        <w:rPr>
          <w:rFonts w:ascii="Calibri" w:eastAsia="MS Mincho" w:hAnsi="Calibri" w:cs="Calibri"/>
          <w:noProof/>
        </w:rPr>
        <w:t xml:space="preserve">(Swann </w:t>
      </w:r>
      <w:r w:rsidR="0080697E" w:rsidRPr="0080697E">
        <w:rPr>
          <w:rFonts w:ascii="Calibri" w:eastAsia="MS Mincho" w:hAnsi="Calibri" w:cs="Calibri"/>
          <w:i/>
          <w:iCs/>
          <w:noProof/>
        </w:rPr>
        <w:t>et al</w:t>
      </w:r>
      <w:r w:rsidR="00147261" w:rsidRPr="00055D66">
        <w:rPr>
          <w:rFonts w:ascii="Calibri" w:eastAsia="MS Mincho" w:hAnsi="Calibri" w:cs="Calibri"/>
          <w:noProof/>
        </w:rPr>
        <w:t>., 2018)</w:t>
      </w:r>
      <w:r w:rsidR="00147261" w:rsidRPr="00055D66">
        <w:rPr>
          <w:rFonts w:ascii="Calibri" w:eastAsia="MS Mincho" w:hAnsi="Calibri" w:cs="Calibri"/>
        </w:rPr>
        <w:fldChar w:fldCharType="end"/>
      </w:r>
      <w:r w:rsidR="00147261" w:rsidRPr="00055D66">
        <w:rPr>
          <w:rFonts w:ascii="Calibri" w:eastAsia="MS Mincho" w:hAnsi="Calibri" w:cs="Calibri"/>
        </w:rPr>
        <w:t xml:space="preserve">. Within the local area, there are various initiatives using sport as a medium through which to engage and work with young men. As with many initiatives elsewhere, these do not usually have thorough evaluations carried out and therefore their efficacy is based upon anecdotal observations or feedback. </w:t>
      </w:r>
    </w:p>
    <w:p w14:paraId="3A6F111F" w14:textId="77777777" w:rsidR="00724275" w:rsidRDefault="00724275" w:rsidP="00147261">
      <w:pPr>
        <w:spacing w:line="360" w:lineRule="auto"/>
        <w:rPr>
          <w:rFonts w:ascii="Calibri" w:eastAsia="MS Mincho" w:hAnsi="Calibri" w:cs="Calibri"/>
        </w:rPr>
      </w:pPr>
    </w:p>
    <w:p w14:paraId="5F33C6C7" w14:textId="24F452F2" w:rsidR="00323851" w:rsidRPr="00055D66" w:rsidRDefault="00323851" w:rsidP="00323851">
      <w:pPr>
        <w:spacing w:line="360" w:lineRule="auto"/>
        <w:rPr>
          <w:rFonts w:ascii="Calibri" w:eastAsia="MS Mincho" w:hAnsi="Calibri" w:cs="Calibri"/>
        </w:rPr>
      </w:pPr>
      <w:r w:rsidRPr="088F2921">
        <w:rPr>
          <w:rFonts w:ascii="Calibri" w:eastAsia="MS Mincho" w:hAnsi="Calibri" w:cs="Calibri"/>
        </w:rPr>
        <w:t>Whilst much of the academic literature</w:t>
      </w:r>
      <w:r w:rsidR="00A06918">
        <w:rPr>
          <w:rFonts w:ascii="Calibri" w:eastAsia="MS Mincho" w:hAnsi="Calibri" w:cs="Calibri"/>
        </w:rPr>
        <w:t xml:space="preserve"> relating to activity and </w:t>
      </w:r>
      <w:r w:rsidR="00301C85">
        <w:rPr>
          <w:rFonts w:ascii="Calibri" w:eastAsia="MS Mincho" w:hAnsi="Calibri" w:cs="Calibri"/>
        </w:rPr>
        <w:t>nature-based</w:t>
      </w:r>
      <w:r w:rsidR="00A06918">
        <w:rPr>
          <w:rFonts w:ascii="Calibri" w:eastAsia="MS Mincho" w:hAnsi="Calibri" w:cs="Calibri"/>
        </w:rPr>
        <w:t xml:space="preserve"> interventions</w:t>
      </w:r>
      <w:r w:rsidRPr="088F2921">
        <w:rPr>
          <w:rFonts w:ascii="Calibri" w:eastAsia="MS Mincho" w:hAnsi="Calibri" w:cs="Calibri"/>
        </w:rPr>
        <w:t xml:space="preserve"> currently relates to</w:t>
      </w:r>
      <w:r>
        <w:rPr>
          <w:rFonts w:ascii="Calibri" w:eastAsia="MS Mincho" w:hAnsi="Calibri" w:cs="Calibri"/>
        </w:rPr>
        <w:t xml:space="preserve"> adults</w:t>
      </w:r>
      <w:r w:rsidRPr="088F2921">
        <w:rPr>
          <w:rFonts w:ascii="Calibri" w:eastAsia="MS Mincho" w:hAnsi="Calibri" w:cs="Calibri"/>
        </w:rPr>
        <w:t xml:space="preserve">, some studies from outside the UK, such as Puhakka </w:t>
      </w:r>
      <w:r w:rsidR="0080697E">
        <w:rPr>
          <w:rFonts w:ascii="Calibri" w:eastAsia="MS Mincho" w:hAnsi="Calibri" w:cs="Calibri"/>
        </w:rPr>
        <w:t>e</w:t>
      </w:r>
      <w:r w:rsidR="0080697E" w:rsidRPr="0080697E">
        <w:rPr>
          <w:rFonts w:ascii="Calibri" w:eastAsia="MS Mincho" w:hAnsi="Calibri" w:cs="Calibri"/>
          <w:i/>
          <w:iCs/>
        </w:rPr>
        <w:t>t al.</w:t>
      </w:r>
      <w:proofErr w:type="gramStart"/>
      <w:r w:rsidR="0080697E" w:rsidRPr="0080697E">
        <w:rPr>
          <w:rFonts w:ascii="Calibri" w:eastAsia="MS Mincho" w:hAnsi="Calibri" w:cs="Calibri"/>
          <w:i/>
          <w:iCs/>
        </w:rPr>
        <w:t xml:space="preserve">, </w:t>
      </w:r>
      <w:r w:rsidRPr="0080697E">
        <w:rPr>
          <w:rFonts w:ascii="Calibri" w:eastAsia="MS Mincho" w:hAnsi="Calibri" w:cs="Calibri"/>
          <w:i/>
          <w:iCs/>
        </w:rPr>
        <w:t xml:space="preserve"> </w:t>
      </w:r>
      <w:r w:rsidRPr="088F2921">
        <w:rPr>
          <w:rFonts w:ascii="Calibri" w:eastAsia="MS Mincho" w:hAnsi="Calibri" w:cs="Calibri"/>
        </w:rPr>
        <w:t>(</w:t>
      </w:r>
      <w:proofErr w:type="gramEnd"/>
      <w:r w:rsidRPr="088F2921">
        <w:rPr>
          <w:rFonts w:ascii="Calibri" w:eastAsia="MS Mincho" w:hAnsi="Calibri" w:cs="Calibri"/>
        </w:rPr>
        <w:t xml:space="preserve">2018) and Khan </w:t>
      </w:r>
      <w:r w:rsidR="0080697E" w:rsidRPr="0080697E">
        <w:rPr>
          <w:rFonts w:ascii="Calibri" w:eastAsia="MS Mincho" w:hAnsi="Calibri" w:cs="Calibri"/>
          <w:i/>
          <w:iCs/>
        </w:rPr>
        <w:t>et al.,</w:t>
      </w:r>
      <w:r w:rsidR="0080697E">
        <w:rPr>
          <w:rFonts w:ascii="Calibri" w:eastAsia="MS Mincho" w:hAnsi="Calibri" w:cs="Calibri"/>
        </w:rPr>
        <w:t xml:space="preserve"> </w:t>
      </w:r>
      <w:r w:rsidRPr="088F2921">
        <w:rPr>
          <w:rFonts w:ascii="Calibri" w:eastAsia="MS Mincho" w:hAnsi="Calibri" w:cs="Calibri"/>
        </w:rPr>
        <w:t xml:space="preserve"> (2014) confirm the positive impact of ‘nature related’ activity upon well-being, and mental health in particular.</w:t>
      </w:r>
      <w:r>
        <w:rPr>
          <w:rFonts w:ascii="Calibri" w:eastAsia="MS Mincho" w:hAnsi="Calibri" w:cs="Calibri"/>
        </w:rPr>
        <w:t xml:space="preserve"> </w:t>
      </w:r>
      <w:r w:rsidRPr="088F2921">
        <w:rPr>
          <w:rFonts w:ascii="Calibri" w:eastAsia="MS Mincho" w:hAnsi="Calibri" w:cs="Calibri"/>
        </w:rPr>
        <w:t xml:space="preserve">The rise of ‘social prescribing’ approaches within medico-social </w:t>
      </w:r>
      <w:proofErr w:type="gramStart"/>
      <w:r w:rsidRPr="088F2921">
        <w:rPr>
          <w:rFonts w:ascii="Calibri" w:eastAsia="MS Mincho" w:hAnsi="Calibri" w:cs="Calibri"/>
        </w:rPr>
        <w:t>practice  (</w:t>
      </w:r>
      <w:proofErr w:type="gramEnd"/>
      <w:r w:rsidRPr="088F2921">
        <w:rPr>
          <w:rFonts w:ascii="Calibri" w:eastAsia="MS Mincho" w:hAnsi="Calibri" w:cs="Calibri"/>
        </w:rPr>
        <w:t xml:space="preserve">see Horner, 2018 for outline and example with local relevance) has also been used in some settings to promote activity and nature-based interventions and has received publicity via BBC Countryfile as well as academic literature. Indeed, Chatterjee </w:t>
      </w:r>
      <w:r w:rsidR="0080697E" w:rsidRPr="0080697E">
        <w:rPr>
          <w:rFonts w:ascii="Calibri" w:eastAsia="MS Mincho" w:hAnsi="Calibri" w:cs="Calibri"/>
          <w:i/>
          <w:iCs/>
        </w:rPr>
        <w:t>et al.</w:t>
      </w:r>
      <w:proofErr w:type="gramStart"/>
      <w:r w:rsidR="0080697E" w:rsidRPr="0080697E">
        <w:rPr>
          <w:rFonts w:ascii="Calibri" w:eastAsia="MS Mincho" w:hAnsi="Calibri" w:cs="Calibri"/>
          <w:i/>
          <w:iCs/>
        </w:rPr>
        <w:t>,</w:t>
      </w:r>
      <w:r w:rsidR="0080697E">
        <w:rPr>
          <w:rFonts w:ascii="Calibri" w:eastAsia="MS Mincho" w:hAnsi="Calibri" w:cs="Calibri"/>
        </w:rPr>
        <w:t xml:space="preserve"> </w:t>
      </w:r>
      <w:r w:rsidRPr="088F2921">
        <w:rPr>
          <w:rFonts w:ascii="Calibri" w:eastAsia="MS Mincho" w:hAnsi="Calibri" w:cs="Calibri"/>
        </w:rPr>
        <w:t xml:space="preserve"> (</w:t>
      </w:r>
      <w:proofErr w:type="gramEnd"/>
      <w:r w:rsidRPr="088F2921">
        <w:rPr>
          <w:rFonts w:ascii="Calibri" w:eastAsia="MS Mincho" w:hAnsi="Calibri" w:cs="Calibri"/>
        </w:rPr>
        <w:t>201</w:t>
      </w:r>
      <w:r w:rsidR="0080697E">
        <w:rPr>
          <w:rFonts w:ascii="Calibri" w:eastAsia="MS Mincho" w:hAnsi="Calibri" w:cs="Calibri"/>
        </w:rPr>
        <w:t>8</w:t>
      </w:r>
      <w:r w:rsidRPr="088F2921">
        <w:rPr>
          <w:rFonts w:ascii="Calibri" w:eastAsia="MS Mincho" w:hAnsi="Calibri" w:cs="Calibri"/>
        </w:rPr>
        <w:t xml:space="preserve">) outline the main uses of social prescribing within the UK including exercise referrals, books on prescription and arts on prescription and whilst again identifying a lack of formal evaluations in many contexts, the reported benefits in completed evaluations were identified as being significant for socially excluded individuals in particular.  This approach formed the basis of the previously available Young Crawley project in West Sussex, funded through the ‘Troubled Families’ agenda. That project, more recently managed by Crawley Community &amp;Voluntary Service provided choice regarding intervention and activity mode via a ‘family credit’ approach in which project workers </w:t>
      </w:r>
      <w:r w:rsidRPr="088F2921">
        <w:rPr>
          <w:rFonts w:ascii="Calibri" w:eastAsia="MS Mincho" w:hAnsi="Calibri" w:cs="Calibri"/>
        </w:rPr>
        <w:lastRenderedPageBreak/>
        <w:t>linked young people and family members to selected activities (</w:t>
      </w:r>
      <w:proofErr w:type="gramStart"/>
      <w:r w:rsidRPr="088F2921">
        <w:rPr>
          <w:rFonts w:ascii="Calibri" w:eastAsia="MS Mincho" w:hAnsi="Calibri" w:cs="Calibri"/>
        </w:rPr>
        <w:t>e.g.</w:t>
      </w:r>
      <w:proofErr w:type="gramEnd"/>
      <w:r w:rsidRPr="088F2921">
        <w:rPr>
          <w:rFonts w:ascii="Calibri" w:eastAsia="MS Mincho" w:hAnsi="Calibri" w:cs="Calibri"/>
        </w:rPr>
        <w:t xml:space="preserve"> cooking, 1-1 fishing, football coaching) through a network of organisations working together using a system of allocating credits to enable choice and to reduce the invoicing burdens. However, despite anecdotal positive feedback about the coordination of services and choices available, no formal evaluations of this project currently </w:t>
      </w:r>
      <w:r w:rsidR="00301C85" w:rsidRPr="088F2921">
        <w:rPr>
          <w:rFonts w:ascii="Calibri" w:eastAsia="MS Mincho" w:hAnsi="Calibri" w:cs="Calibri"/>
        </w:rPr>
        <w:t>exist,</w:t>
      </w:r>
      <w:r w:rsidRPr="088F2921">
        <w:rPr>
          <w:rFonts w:ascii="Calibri" w:eastAsia="MS Mincho" w:hAnsi="Calibri" w:cs="Calibri"/>
        </w:rPr>
        <w:t xml:space="preserve"> and the funding was provided on a short-term basis, as is often the case for such initiatives. A summary of activities during 2018 can be found at: </w:t>
      </w:r>
      <w:hyperlink r:id="rId16" w:history="1">
        <w:r w:rsidRPr="088F2921">
          <w:rPr>
            <w:rStyle w:val="Hyperlink"/>
            <w:rFonts w:ascii="Calibri" w:eastAsia="MS Mincho" w:hAnsi="Calibri" w:cs="Calibri"/>
          </w:rPr>
          <w:t>https://www.crawleycommunityaction.org/wp-content/uploads/2020/01/CCVSAnnualReview2018.pdf</w:t>
        </w:r>
      </w:hyperlink>
      <w:r w:rsidRPr="088F2921">
        <w:rPr>
          <w:rFonts w:ascii="Calibri" w:eastAsia="MS Mincho" w:hAnsi="Calibri" w:cs="Calibri"/>
        </w:rPr>
        <w:t xml:space="preserve"> .</w:t>
      </w:r>
    </w:p>
    <w:p w14:paraId="5995DC60" w14:textId="2A896BF9" w:rsidR="003A1C8B" w:rsidRDefault="003A1C8B" w:rsidP="00147261">
      <w:pPr>
        <w:spacing w:line="360" w:lineRule="auto"/>
        <w:rPr>
          <w:rFonts w:ascii="Calibri" w:eastAsia="MS Mincho" w:hAnsi="Calibri" w:cs="Calibri"/>
          <w:highlight w:val="yellow"/>
        </w:rPr>
      </w:pPr>
    </w:p>
    <w:p w14:paraId="3AE197A5" w14:textId="77777777" w:rsidR="00C66173" w:rsidRDefault="00C66173" w:rsidP="003A1C8B"/>
    <w:p w14:paraId="076A07AF" w14:textId="540A7E32" w:rsidR="00A8207C" w:rsidRDefault="003A1C8B" w:rsidP="0079774D">
      <w:pPr>
        <w:spacing w:line="360" w:lineRule="auto"/>
        <w:rPr>
          <w:rFonts w:ascii="Calibri" w:eastAsia="MS Mincho" w:hAnsi="Calibri" w:cs="Calibri"/>
        </w:rPr>
      </w:pPr>
      <w:r>
        <w:rPr>
          <w:rFonts w:ascii="Calibri" w:eastAsia="MS Mincho" w:hAnsi="Calibri" w:cs="Calibri"/>
        </w:rPr>
        <w:t xml:space="preserve">Trauma-informed interventions may be more challenging to implement than alternatives, not least owing to their time consuming and resource-intensive nature. Hiller </w:t>
      </w:r>
      <w:r w:rsidR="0080697E" w:rsidRPr="0080697E">
        <w:rPr>
          <w:rFonts w:ascii="Calibri" w:eastAsia="MS Mincho" w:hAnsi="Calibri" w:cs="Calibri"/>
          <w:i/>
          <w:iCs/>
        </w:rPr>
        <w:t>et al.,</w:t>
      </w:r>
      <w:r>
        <w:rPr>
          <w:rFonts w:ascii="Calibri" w:eastAsia="MS Mincho" w:hAnsi="Calibri" w:cs="Calibri"/>
        </w:rPr>
        <w:t xml:space="preserve"> (2008)</w:t>
      </w:r>
      <w:r w:rsidRPr="19D0833C">
        <w:rPr>
          <w:rFonts w:ascii="Calibri" w:eastAsia="MS Mincho" w:hAnsi="Calibri" w:cs="Calibri"/>
        </w:rPr>
        <w:t xml:space="preserve"> draw attention to the dangers of trauma related work overly focusing upon relaxation methods and overlooking or excluding trauma narratives and cognitive restructuring</w:t>
      </w:r>
      <w:r>
        <w:rPr>
          <w:rFonts w:ascii="Calibri" w:eastAsia="MS Mincho" w:hAnsi="Calibri" w:cs="Calibri"/>
        </w:rPr>
        <w:t>,</w:t>
      </w:r>
      <w:r w:rsidRPr="19D0833C">
        <w:rPr>
          <w:rFonts w:ascii="Calibri" w:eastAsia="MS Mincho" w:hAnsi="Calibri" w:cs="Calibri"/>
        </w:rPr>
        <w:t xml:space="preserve"> which are potentially powerful aspects of such an intervention. Interestingly, their study showed a low level of agreement between reports from carers and young people themselves regarding the severity of the impact of trauma, with the adults seemingly under</w:t>
      </w:r>
      <w:r w:rsidR="00A726B6">
        <w:rPr>
          <w:rFonts w:ascii="Calibri" w:eastAsia="MS Mincho" w:hAnsi="Calibri" w:cs="Calibri"/>
        </w:rPr>
        <w:t>estimating the impact of trauma,</w:t>
      </w:r>
      <w:r w:rsidRPr="19D0833C">
        <w:rPr>
          <w:rFonts w:ascii="Calibri" w:eastAsia="MS Mincho" w:hAnsi="Calibri" w:cs="Calibri"/>
        </w:rPr>
        <w:t xml:space="preserve"> compared to the young person’s own views. </w:t>
      </w:r>
    </w:p>
    <w:p w14:paraId="2603E5BD" w14:textId="77777777" w:rsidR="00301C85" w:rsidRDefault="00301C85" w:rsidP="00301C85">
      <w:pPr>
        <w:spacing w:line="360" w:lineRule="auto"/>
        <w:rPr>
          <w:rFonts w:asciiTheme="majorHAnsi" w:hAnsiTheme="majorHAnsi" w:cstheme="majorHAnsi"/>
        </w:rPr>
      </w:pPr>
    </w:p>
    <w:p w14:paraId="002B075F" w14:textId="73F2B6DE" w:rsidR="00301C85" w:rsidRPr="00301C85" w:rsidRDefault="00301C85" w:rsidP="00301C85">
      <w:pPr>
        <w:spacing w:line="360" w:lineRule="auto"/>
        <w:rPr>
          <w:rStyle w:val="eop"/>
          <w:rFonts w:asciiTheme="majorHAnsi" w:hAnsiTheme="majorHAnsi" w:cstheme="majorHAnsi"/>
          <w:color w:val="000000"/>
        </w:rPr>
      </w:pPr>
      <w:r w:rsidRPr="00301C85">
        <w:rPr>
          <w:rFonts w:asciiTheme="majorHAnsi" w:hAnsiTheme="majorHAnsi" w:cstheme="majorHAnsi"/>
        </w:rPr>
        <w:t xml:space="preserve">Within Youth Justice/Youth Offending areas of practice, there have been moves </w:t>
      </w:r>
      <w:r>
        <w:rPr>
          <w:rFonts w:asciiTheme="majorHAnsi" w:hAnsiTheme="majorHAnsi" w:cstheme="majorHAnsi"/>
        </w:rPr>
        <w:t xml:space="preserve">internationally </w:t>
      </w:r>
      <w:r w:rsidRPr="00301C85">
        <w:rPr>
          <w:rFonts w:asciiTheme="majorHAnsi" w:hAnsiTheme="majorHAnsi" w:cstheme="majorHAnsi"/>
        </w:rPr>
        <w:t>over the last couple of decades towards models based more explicitly upon reparation, restoration and prevention of future offending</w:t>
      </w:r>
      <w:r>
        <w:rPr>
          <w:rFonts w:asciiTheme="majorHAnsi" w:hAnsiTheme="majorHAnsi" w:cstheme="majorHAnsi"/>
        </w:rPr>
        <w:t xml:space="preserve"> via reintegration</w:t>
      </w:r>
      <w:r w:rsidRPr="00301C85">
        <w:rPr>
          <w:rFonts w:asciiTheme="majorHAnsi" w:hAnsiTheme="majorHAnsi" w:cstheme="majorHAnsi"/>
        </w:rPr>
        <w:t>, especially for first</w:t>
      </w:r>
      <w:r>
        <w:rPr>
          <w:rFonts w:asciiTheme="majorHAnsi" w:hAnsiTheme="majorHAnsi" w:cstheme="majorHAnsi"/>
        </w:rPr>
        <w:t>-</w:t>
      </w:r>
      <w:r w:rsidRPr="00301C85">
        <w:rPr>
          <w:rFonts w:asciiTheme="majorHAnsi" w:hAnsiTheme="majorHAnsi" w:cstheme="majorHAnsi"/>
        </w:rPr>
        <w:t>time and lower</w:t>
      </w:r>
      <w:r>
        <w:rPr>
          <w:rFonts w:asciiTheme="majorHAnsi" w:hAnsiTheme="majorHAnsi" w:cstheme="majorHAnsi"/>
        </w:rPr>
        <w:t>-</w:t>
      </w:r>
      <w:r w:rsidRPr="00301C85">
        <w:rPr>
          <w:rFonts w:asciiTheme="majorHAnsi" w:hAnsiTheme="majorHAnsi" w:cstheme="majorHAnsi"/>
        </w:rPr>
        <w:t>level offending behaviour. Whilst in England and Wales, a form of this is evident in the practices associated with Referral Orders</w:t>
      </w:r>
      <w:r w:rsidRPr="00301C85">
        <w:rPr>
          <w:rStyle w:val="FootnoteReference"/>
          <w:rFonts w:asciiTheme="majorHAnsi" w:hAnsiTheme="majorHAnsi" w:cstheme="majorHAnsi"/>
        </w:rPr>
        <w:footnoteReference w:id="2"/>
      </w:r>
      <w:r w:rsidRPr="00301C85">
        <w:rPr>
          <w:rFonts w:asciiTheme="majorHAnsi" w:hAnsiTheme="majorHAnsi" w:cstheme="majorHAnsi"/>
        </w:rPr>
        <w:t xml:space="preserve"> made </w:t>
      </w:r>
      <w:r>
        <w:rPr>
          <w:rFonts w:asciiTheme="majorHAnsi" w:hAnsiTheme="majorHAnsi" w:cstheme="majorHAnsi"/>
        </w:rPr>
        <w:t xml:space="preserve">(generally) </w:t>
      </w:r>
      <w:r w:rsidRPr="00301C85">
        <w:rPr>
          <w:rFonts w:asciiTheme="majorHAnsi" w:hAnsiTheme="majorHAnsi" w:cstheme="majorHAnsi"/>
        </w:rPr>
        <w:t xml:space="preserve">by Youth Courts for </w:t>
      </w:r>
      <w:r>
        <w:rPr>
          <w:rFonts w:asciiTheme="majorHAnsi" w:hAnsiTheme="majorHAnsi" w:cstheme="majorHAnsi"/>
        </w:rPr>
        <w:t>most</w:t>
      </w:r>
      <w:r w:rsidRPr="00301C85">
        <w:rPr>
          <w:rFonts w:asciiTheme="majorHAnsi" w:hAnsiTheme="majorHAnsi" w:cstheme="majorHAnsi"/>
        </w:rPr>
        <w:t xml:space="preserve"> first</w:t>
      </w:r>
      <w:r>
        <w:rPr>
          <w:rFonts w:asciiTheme="majorHAnsi" w:hAnsiTheme="majorHAnsi" w:cstheme="majorHAnsi"/>
        </w:rPr>
        <w:t>-</w:t>
      </w:r>
      <w:r w:rsidRPr="00301C85">
        <w:rPr>
          <w:rFonts w:asciiTheme="majorHAnsi" w:hAnsiTheme="majorHAnsi" w:cstheme="majorHAnsi"/>
        </w:rPr>
        <w:t xml:space="preserve">time </w:t>
      </w:r>
      <w:r w:rsidRPr="00301C85">
        <w:rPr>
          <w:rFonts w:asciiTheme="majorHAnsi" w:hAnsiTheme="majorHAnsi" w:cstheme="majorHAnsi"/>
        </w:rPr>
        <w:lastRenderedPageBreak/>
        <w:t xml:space="preserve">offenders who admit guilt, where the offence warrants a community sentence. The process involves a panel working with the young person and the agreement of a contract for the period of the order. </w:t>
      </w:r>
      <w:r w:rsidRPr="00301C85">
        <w:rPr>
          <w:rStyle w:val="normaltextrun"/>
          <w:rFonts w:asciiTheme="majorHAnsi" w:hAnsiTheme="majorHAnsi" w:cstheme="majorHAnsi"/>
          <w:color w:val="000000"/>
          <w:lang w:val="en-US"/>
        </w:rPr>
        <w:t xml:space="preserve">Experiences of panel meetings have been found to be more positive than other forms of court and community sentence experiences. Young people reported that they were treated with respect during the meetings and had felt able to provide their side of the story (Newburn </w:t>
      </w:r>
      <w:r w:rsidR="0080697E" w:rsidRPr="0080697E">
        <w:rPr>
          <w:rStyle w:val="normaltextrun"/>
          <w:rFonts w:asciiTheme="majorHAnsi" w:hAnsiTheme="majorHAnsi" w:cstheme="majorHAnsi"/>
          <w:i/>
          <w:iCs/>
          <w:color w:val="000000"/>
          <w:lang w:val="en-US"/>
        </w:rPr>
        <w:t>et al.,</w:t>
      </w:r>
      <w:r w:rsidR="0080697E">
        <w:rPr>
          <w:rStyle w:val="normaltextrun"/>
          <w:rFonts w:asciiTheme="majorHAnsi" w:hAnsiTheme="majorHAnsi" w:cstheme="majorHAnsi"/>
          <w:color w:val="000000"/>
          <w:lang w:val="en-US"/>
        </w:rPr>
        <w:t xml:space="preserve"> </w:t>
      </w:r>
      <w:r w:rsidRPr="00301C85">
        <w:rPr>
          <w:rStyle w:val="normaltextrun"/>
          <w:rFonts w:asciiTheme="majorHAnsi" w:hAnsiTheme="majorHAnsi" w:cstheme="majorHAnsi"/>
          <w:color w:val="000000"/>
          <w:lang w:val="en-US"/>
        </w:rPr>
        <w:t xml:space="preserve">2001, 2002). Over two-thirds of the young people in Newburn </w:t>
      </w:r>
      <w:r w:rsidR="0080697E" w:rsidRPr="0080697E">
        <w:rPr>
          <w:rStyle w:val="normaltextrun"/>
          <w:rFonts w:asciiTheme="majorHAnsi" w:hAnsiTheme="majorHAnsi" w:cstheme="majorHAnsi"/>
          <w:i/>
          <w:iCs/>
          <w:color w:val="000000"/>
          <w:lang w:val="en-US"/>
        </w:rPr>
        <w:t>et al</w:t>
      </w:r>
      <w:r w:rsidRPr="00301C85">
        <w:rPr>
          <w:rStyle w:val="normaltextrun"/>
          <w:rFonts w:asciiTheme="majorHAnsi" w:hAnsiTheme="majorHAnsi" w:cstheme="majorHAnsi"/>
          <w:color w:val="000000"/>
          <w:lang w:val="en-US"/>
        </w:rPr>
        <w:t xml:space="preserve">.’s (2002) study reported that the resulting contract was useful. Young people given a referral order are less likely to reoffend than those given other types of </w:t>
      </w:r>
      <w:proofErr w:type="gramStart"/>
      <w:r w:rsidRPr="00301C85">
        <w:rPr>
          <w:rStyle w:val="normaltextrun"/>
          <w:rFonts w:asciiTheme="majorHAnsi" w:hAnsiTheme="majorHAnsi" w:cstheme="majorHAnsi"/>
          <w:color w:val="000000"/>
          <w:lang w:val="en-US"/>
        </w:rPr>
        <w:t>sentence</w:t>
      </w:r>
      <w:proofErr w:type="gramEnd"/>
      <w:r w:rsidRPr="00301C85">
        <w:rPr>
          <w:rStyle w:val="normaltextrun"/>
          <w:rFonts w:asciiTheme="majorHAnsi" w:hAnsiTheme="majorHAnsi" w:cstheme="majorHAnsi"/>
          <w:color w:val="000000"/>
          <w:lang w:val="en-US"/>
        </w:rPr>
        <w:t>. However, it is important to note that referral orders are not always delivered well, risking their effectiveness in individual cases. For example, sufficient attention must be given both locally and nationally to making sure that referral orders achieve their objectives </w:t>
      </w:r>
      <w:r w:rsidRPr="00301C85">
        <w:rPr>
          <w:rStyle w:val="normaltextrun"/>
          <w:rFonts w:asciiTheme="majorHAnsi" w:hAnsiTheme="majorHAnsi" w:cstheme="majorHAnsi"/>
          <w:color w:val="000000"/>
          <w:shd w:val="clear" w:color="auto" w:fill="E1E3E6"/>
          <w:lang w:val="en-US"/>
        </w:rPr>
        <w:t>(HM Inspectorate of Probation, 2016)</w:t>
      </w:r>
      <w:r w:rsidRPr="00301C85">
        <w:rPr>
          <w:rStyle w:val="normaltextrun"/>
          <w:rFonts w:asciiTheme="majorHAnsi" w:hAnsiTheme="majorHAnsi" w:cstheme="majorHAnsi"/>
          <w:color w:val="000000"/>
          <w:lang w:val="en-US"/>
        </w:rPr>
        <w:t>.</w:t>
      </w:r>
      <w:r w:rsidRPr="00301C85">
        <w:rPr>
          <w:rStyle w:val="eop"/>
          <w:rFonts w:asciiTheme="majorHAnsi" w:hAnsiTheme="majorHAnsi" w:cstheme="majorHAnsi"/>
          <w:color w:val="000000"/>
        </w:rPr>
        <w:t xml:space="preserve">  </w:t>
      </w:r>
    </w:p>
    <w:p w14:paraId="0DC681CF" w14:textId="77777777" w:rsidR="00301C85" w:rsidRPr="00301C85" w:rsidRDefault="00301C85" w:rsidP="00301C85">
      <w:pPr>
        <w:spacing w:line="360" w:lineRule="auto"/>
        <w:rPr>
          <w:rStyle w:val="eop"/>
          <w:rFonts w:asciiTheme="majorHAnsi" w:hAnsiTheme="majorHAnsi" w:cstheme="majorHAnsi"/>
          <w:color w:val="000000"/>
        </w:rPr>
      </w:pPr>
    </w:p>
    <w:p w14:paraId="136EA1D1" w14:textId="5FE4EFF4" w:rsidR="00301C85" w:rsidRPr="00301C85" w:rsidRDefault="00301C85" w:rsidP="00301C85">
      <w:pPr>
        <w:spacing w:line="360" w:lineRule="auto"/>
        <w:rPr>
          <w:rFonts w:asciiTheme="majorHAnsi" w:hAnsiTheme="majorHAnsi" w:cstheme="majorHAnsi"/>
        </w:rPr>
      </w:pPr>
      <w:r w:rsidRPr="00301C85">
        <w:rPr>
          <w:rStyle w:val="eop"/>
          <w:rFonts w:asciiTheme="majorHAnsi" w:hAnsiTheme="majorHAnsi" w:cstheme="majorHAnsi"/>
          <w:color w:val="000000"/>
        </w:rPr>
        <w:t xml:space="preserve">In some contexts, </w:t>
      </w:r>
      <w:r>
        <w:rPr>
          <w:rStyle w:val="eop"/>
          <w:rFonts w:asciiTheme="majorHAnsi" w:hAnsiTheme="majorHAnsi" w:cstheme="majorHAnsi"/>
          <w:color w:val="000000"/>
        </w:rPr>
        <w:t xml:space="preserve">aspects of </w:t>
      </w:r>
      <w:r w:rsidRPr="00301C85">
        <w:rPr>
          <w:rStyle w:val="eop"/>
          <w:rFonts w:asciiTheme="majorHAnsi" w:hAnsiTheme="majorHAnsi" w:cstheme="majorHAnsi"/>
          <w:color w:val="000000"/>
        </w:rPr>
        <w:t>the approach above ha</w:t>
      </w:r>
      <w:r>
        <w:rPr>
          <w:rStyle w:val="eop"/>
          <w:rFonts w:asciiTheme="majorHAnsi" w:hAnsiTheme="majorHAnsi" w:cstheme="majorHAnsi"/>
          <w:color w:val="000000"/>
        </w:rPr>
        <w:t>ve</w:t>
      </w:r>
      <w:r w:rsidRPr="00301C85">
        <w:rPr>
          <w:rStyle w:val="eop"/>
          <w:rFonts w:asciiTheme="majorHAnsi" w:hAnsiTheme="majorHAnsi" w:cstheme="majorHAnsi"/>
          <w:color w:val="000000"/>
        </w:rPr>
        <w:t xml:space="preserve"> been combined with the Family Group Conference (FGC) approach, initially developed within the New Zealand context outside of the justice system to address issues of care needs and to draw upon network supports. For example, in Indiana, USA, this approach is used in place of a referral order </w:t>
      </w:r>
      <w:r w:rsidRPr="00301C85">
        <w:rPr>
          <w:rStyle w:val="eop"/>
          <w:rFonts w:asciiTheme="majorHAnsi" w:hAnsiTheme="majorHAnsi" w:cstheme="majorHAnsi"/>
          <w:i/>
          <w:iCs/>
          <w:color w:val="000000"/>
        </w:rPr>
        <w:t>per se,</w:t>
      </w:r>
      <w:r>
        <w:rPr>
          <w:rStyle w:val="eop"/>
          <w:rFonts w:asciiTheme="majorHAnsi" w:hAnsiTheme="majorHAnsi" w:cstheme="majorHAnsi"/>
          <w:color w:val="000000"/>
        </w:rPr>
        <w:t xml:space="preserve"> </w:t>
      </w:r>
      <w:r w:rsidRPr="00301C85">
        <w:rPr>
          <w:rStyle w:val="eop"/>
          <w:rFonts w:asciiTheme="majorHAnsi" w:hAnsiTheme="majorHAnsi" w:cstheme="majorHAnsi"/>
          <w:color w:val="000000"/>
        </w:rPr>
        <w:t>but seeks to address the ecological/systems issues that result in offending and reduce future offending. Such approaches have been found to have limited impact where parental involvement is the exception rather than the norm, and short</w:t>
      </w:r>
      <w:r>
        <w:rPr>
          <w:rStyle w:val="eop"/>
          <w:rFonts w:asciiTheme="majorHAnsi" w:hAnsiTheme="majorHAnsi" w:cstheme="majorHAnsi"/>
          <w:color w:val="000000"/>
        </w:rPr>
        <w:t>-</w:t>
      </w:r>
      <w:r w:rsidRPr="00301C85">
        <w:rPr>
          <w:rStyle w:val="eop"/>
          <w:rFonts w:asciiTheme="majorHAnsi" w:hAnsiTheme="majorHAnsi" w:cstheme="majorHAnsi"/>
          <w:color w:val="000000"/>
        </w:rPr>
        <w:t>term interventions have been evaluated as being less likely to tackle more entrenched issues. (</w:t>
      </w:r>
      <w:r w:rsidRPr="00301C85">
        <w:rPr>
          <w:rStyle w:val="normaltextrun"/>
          <w:rFonts w:asciiTheme="majorHAnsi" w:hAnsiTheme="majorHAnsi" w:cstheme="majorHAnsi"/>
          <w:color w:val="000000"/>
          <w:shd w:val="clear" w:color="auto" w:fill="E1E3E6"/>
          <w:lang w:val="en-US"/>
        </w:rPr>
        <w:t>Jeong, McGarrell and Hipple, 2012)</w:t>
      </w:r>
    </w:p>
    <w:p w14:paraId="164298F0" w14:textId="77777777" w:rsidR="00301C85" w:rsidRPr="00301C85" w:rsidRDefault="00301C85" w:rsidP="00301C85">
      <w:pPr>
        <w:pStyle w:val="paragraph"/>
        <w:spacing w:before="0" w:beforeAutospacing="0" w:after="0" w:afterAutospacing="0" w:line="360" w:lineRule="auto"/>
        <w:textAlignment w:val="baseline"/>
        <w:rPr>
          <w:rFonts w:asciiTheme="majorHAnsi" w:hAnsiTheme="majorHAnsi" w:cstheme="majorHAnsi"/>
        </w:rPr>
      </w:pPr>
      <w:r w:rsidRPr="00301C85">
        <w:rPr>
          <w:rStyle w:val="eop"/>
          <w:rFonts w:asciiTheme="majorHAnsi" w:hAnsiTheme="majorHAnsi" w:cstheme="majorHAnsi"/>
          <w:color w:val="000000"/>
        </w:rPr>
        <w:t> </w:t>
      </w:r>
    </w:p>
    <w:p w14:paraId="13F1FC33" w14:textId="589DA449" w:rsidR="00301C85" w:rsidRPr="00301C85" w:rsidRDefault="00301C85" w:rsidP="00301C85">
      <w:pPr>
        <w:spacing w:line="360" w:lineRule="auto"/>
        <w:rPr>
          <w:rFonts w:asciiTheme="majorHAnsi" w:hAnsiTheme="majorHAnsi" w:cstheme="majorHAnsi"/>
        </w:rPr>
      </w:pPr>
      <w:r w:rsidRPr="00301C85">
        <w:rPr>
          <w:rFonts w:asciiTheme="majorHAnsi" w:hAnsiTheme="majorHAnsi" w:cstheme="majorHAnsi"/>
        </w:rPr>
        <w:t xml:space="preserve">However, the FGC approach has been used in many other contexts, including in parts of the UK, both explicitly and implicitly as part of measures that seek to involve children and young people in decisions about protective and support needs. Widely used within Scandinavian countries and the USA as a formal measure to support family and child participation (see Merkel-Holguin </w:t>
      </w:r>
      <w:r w:rsidR="0080697E" w:rsidRPr="0080697E">
        <w:rPr>
          <w:rFonts w:asciiTheme="majorHAnsi" w:hAnsiTheme="majorHAnsi" w:cstheme="majorHAnsi"/>
          <w:i/>
          <w:iCs/>
        </w:rPr>
        <w:t>et al.,</w:t>
      </w:r>
      <w:r w:rsidRPr="00301C85">
        <w:rPr>
          <w:rFonts w:asciiTheme="majorHAnsi" w:hAnsiTheme="majorHAnsi" w:cstheme="majorHAnsi"/>
        </w:rPr>
        <w:t xml:space="preserve"> 2019 for an evaluation), it seems that the name of the model or approach </w:t>
      </w:r>
      <w:r>
        <w:rPr>
          <w:rFonts w:asciiTheme="majorHAnsi" w:hAnsiTheme="majorHAnsi" w:cstheme="majorHAnsi"/>
        </w:rPr>
        <w:t xml:space="preserve">may vary </w:t>
      </w:r>
      <w:r w:rsidRPr="00301C85">
        <w:rPr>
          <w:rFonts w:asciiTheme="majorHAnsi" w:hAnsiTheme="majorHAnsi" w:cstheme="majorHAnsi"/>
        </w:rPr>
        <w:t>(</w:t>
      </w:r>
      <w:r>
        <w:rPr>
          <w:rFonts w:asciiTheme="majorHAnsi" w:hAnsiTheme="majorHAnsi" w:cstheme="majorHAnsi"/>
        </w:rPr>
        <w:t xml:space="preserve">e.g. </w:t>
      </w:r>
      <w:r w:rsidRPr="00301C85">
        <w:rPr>
          <w:rFonts w:asciiTheme="majorHAnsi" w:hAnsiTheme="majorHAnsi" w:cstheme="majorHAnsi"/>
        </w:rPr>
        <w:lastRenderedPageBreak/>
        <w:t>FGC, systemic based models</w:t>
      </w:r>
      <w:r>
        <w:rPr>
          <w:rFonts w:asciiTheme="majorHAnsi" w:hAnsiTheme="majorHAnsi" w:cstheme="majorHAnsi"/>
        </w:rPr>
        <w:t xml:space="preserve"> such as </w:t>
      </w:r>
      <w:r w:rsidRPr="00301C85">
        <w:rPr>
          <w:rFonts w:asciiTheme="majorHAnsi" w:hAnsiTheme="majorHAnsi" w:cstheme="majorHAnsi"/>
        </w:rPr>
        <w:t xml:space="preserve"> ‘Signs of Safety</w:t>
      </w:r>
      <w:r>
        <w:rPr>
          <w:rFonts w:asciiTheme="majorHAnsi" w:hAnsiTheme="majorHAnsi" w:cstheme="majorHAnsi"/>
        </w:rPr>
        <w:t>’</w:t>
      </w:r>
      <w:r w:rsidRPr="00301C85">
        <w:rPr>
          <w:rStyle w:val="FootnoteReference"/>
          <w:rFonts w:asciiTheme="majorHAnsi" w:eastAsiaTheme="majorEastAsia" w:hAnsiTheme="majorHAnsi" w:cstheme="majorHAnsi"/>
        </w:rPr>
        <w:footnoteReference w:id="3"/>
      </w:r>
      <w:r w:rsidRPr="00301C85">
        <w:rPr>
          <w:rFonts w:asciiTheme="majorHAnsi" w:hAnsiTheme="majorHAnsi" w:cstheme="majorHAnsi"/>
        </w:rPr>
        <w:t xml:space="preserve"> </w:t>
      </w:r>
      <w:r>
        <w:rPr>
          <w:rFonts w:asciiTheme="majorHAnsi" w:hAnsiTheme="majorHAnsi" w:cstheme="majorHAnsi"/>
        </w:rPr>
        <w:t>-</w:t>
      </w:r>
      <w:r w:rsidRPr="00301C85">
        <w:rPr>
          <w:rFonts w:asciiTheme="majorHAnsi" w:hAnsiTheme="majorHAnsi" w:cstheme="majorHAnsi"/>
        </w:rPr>
        <w:t xml:space="preserve"> adopted by some local authorities</w:t>
      </w:r>
      <w:r>
        <w:rPr>
          <w:rFonts w:asciiTheme="majorHAnsi" w:hAnsiTheme="majorHAnsi" w:cstheme="majorHAnsi"/>
        </w:rPr>
        <w:t xml:space="preserve">) </w:t>
      </w:r>
      <w:r w:rsidRPr="00301C85">
        <w:rPr>
          <w:rFonts w:asciiTheme="majorHAnsi" w:hAnsiTheme="majorHAnsi" w:cstheme="majorHAnsi"/>
        </w:rPr>
        <w:t xml:space="preserve">but the inclusion of the child and their network and a focus upon shared ownership and responsibility taking is of course key to contemporary practice.  Where this mode/structure is more formally used, the emphasis is upon the family taking the lead for decision making, but this is dependent upon meaningful participation as already noted (Edwards </w:t>
      </w:r>
      <w:r w:rsidR="0080697E" w:rsidRPr="0080697E">
        <w:rPr>
          <w:rFonts w:asciiTheme="majorHAnsi" w:hAnsiTheme="majorHAnsi" w:cstheme="majorHAnsi"/>
          <w:i/>
          <w:iCs/>
        </w:rPr>
        <w:t>et al.,</w:t>
      </w:r>
      <w:r w:rsidRPr="00301C85">
        <w:rPr>
          <w:rFonts w:asciiTheme="majorHAnsi" w:hAnsiTheme="majorHAnsi" w:cstheme="majorHAnsi"/>
        </w:rPr>
        <w:t xml:space="preserve"> 20</w:t>
      </w:r>
      <w:r w:rsidR="0080697E">
        <w:rPr>
          <w:rFonts w:asciiTheme="majorHAnsi" w:hAnsiTheme="majorHAnsi" w:cstheme="majorHAnsi"/>
        </w:rPr>
        <w:t>20</w:t>
      </w:r>
      <w:r w:rsidRPr="00301C85">
        <w:rPr>
          <w:rFonts w:asciiTheme="majorHAnsi" w:hAnsiTheme="majorHAnsi" w:cstheme="majorHAnsi"/>
        </w:rPr>
        <w:t xml:space="preserve">). The model has been used within the UK in relation to Looked After Children, Child in Need plans, and elsewhere, in relation to older people and decisions regarding their needs, preferences and care and support and with children who exhibit sexually harmful behaviour towards other children (Anderson </w:t>
      </w:r>
      <w:r w:rsidR="0080697E" w:rsidRPr="0080697E">
        <w:rPr>
          <w:rFonts w:asciiTheme="majorHAnsi" w:hAnsiTheme="majorHAnsi" w:cstheme="majorHAnsi"/>
        </w:rPr>
        <w:t xml:space="preserve">and Parkinson, </w:t>
      </w:r>
      <w:r w:rsidRPr="00301C85">
        <w:rPr>
          <w:rFonts w:asciiTheme="majorHAnsi" w:hAnsiTheme="majorHAnsi" w:cstheme="majorHAnsi"/>
        </w:rPr>
        <w:t>2018). The latter study suggested that such an approach is able to more fully recognise and work with the dual status of both victim and perpetrator for these children, and yet the approach remains largely unused within much of the UK as these authors note. Their use at the early intervention and prevention level, as originally designed, is perhaps less likely given the cuts to early help and other lower</w:t>
      </w:r>
      <w:r>
        <w:rPr>
          <w:rFonts w:asciiTheme="majorHAnsi" w:hAnsiTheme="majorHAnsi" w:cstheme="majorHAnsi"/>
        </w:rPr>
        <w:t>-</w:t>
      </w:r>
      <w:r w:rsidRPr="00301C85">
        <w:rPr>
          <w:rFonts w:asciiTheme="majorHAnsi" w:hAnsiTheme="majorHAnsi" w:cstheme="majorHAnsi"/>
        </w:rPr>
        <w:t xml:space="preserve">level intervention services within the UK over recent years. </w:t>
      </w:r>
    </w:p>
    <w:p w14:paraId="40CC90C6" w14:textId="77777777" w:rsidR="00301C85" w:rsidRDefault="00301C85" w:rsidP="00301C85">
      <w:pPr>
        <w:spacing w:line="360" w:lineRule="auto"/>
        <w:rPr>
          <w:rFonts w:ascii="Calibri" w:eastAsia="MS Mincho" w:hAnsi="Calibri" w:cs="Calibri"/>
        </w:rPr>
      </w:pPr>
    </w:p>
    <w:p w14:paraId="63A5F746" w14:textId="77777777" w:rsidR="00301C85" w:rsidRPr="00055D66" w:rsidRDefault="00301C85" w:rsidP="00301C85">
      <w:pPr>
        <w:spacing w:line="360" w:lineRule="auto"/>
        <w:rPr>
          <w:rFonts w:ascii="Calibri" w:eastAsia="MS Mincho" w:hAnsi="Calibri" w:cs="Calibri"/>
        </w:rPr>
      </w:pPr>
    </w:p>
    <w:p w14:paraId="6456EC6F" w14:textId="2E3F1452" w:rsidR="0079774D" w:rsidRDefault="0079774D" w:rsidP="0079774D">
      <w:pPr>
        <w:spacing w:line="360" w:lineRule="auto"/>
        <w:rPr>
          <w:rFonts w:ascii="Calibri" w:eastAsia="MS Mincho" w:hAnsi="Calibri" w:cs="Calibri"/>
        </w:rPr>
      </w:pPr>
    </w:p>
    <w:p w14:paraId="28A4A0A7" w14:textId="6A58325B" w:rsidR="00301C85" w:rsidRDefault="00301C85">
      <w:pPr>
        <w:rPr>
          <w:rFonts w:ascii="Calibri" w:eastAsia="MS Mincho" w:hAnsi="Calibri" w:cs="Calibri"/>
        </w:rPr>
      </w:pPr>
      <w:r>
        <w:rPr>
          <w:rFonts w:ascii="Calibri" w:eastAsia="MS Mincho" w:hAnsi="Calibri" w:cs="Calibri"/>
        </w:rPr>
        <w:br w:type="page"/>
      </w:r>
    </w:p>
    <w:p w14:paraId="75B94FD6" w14:textId="24F766B8" w:rsidR="0079774D" w:rsidRDefault="0079774D" w:rsidP="0079774D">
      <w:pPr>
        <w:spacing w:line="360" w:lineRule="auto"/>
        <w:rPr>
          <w:rFonts w:ascii="Calibri" w:eastAsia="MS Mincho" w:hAnsi="Calibri" w:cs="Calibri"/>
          <w:b/>
          <w:bCs/>
        </w:rPr>
      </w:pPr>
      <w:r w:rsidRPr="002F77BE">
        <w:rPr>
          <w:rFonts w:ascii="Calibri" w:eastAsia="MS Mincho" w:hAnsi="Calibri" w:cs="Calibri"/>
          <w:b/>
          <w:bCs/>
        </w:rPr>
        <w:lastRenderedPageBreak/>
        <w:t xml:space="preserve">2.4 </w:t>
      </w:r>
      <w:bookmarkStart w:id="2" w:name="_Hlk66258003"/>
      <w:r w:rsidR="00654326">
        <w:rPr>
          <w:rFonts w:ascii="Calibri" w:eastAsia="MS Mincho" w:hAnsi="Calibri" w:cs="Calibri"/>
          <w:b/>
          <w:bCs/>
        </w:rPr>
        <w:t>Models of intervention</w:t>
      </w:r>
      <w:r w:rsidR="00AD6DFA">
        <w:rPr>
          <w:rFonts w:ascii="Calibri" w:eastAsia="MS Mincho" w:hAnsi="Calibri" w:cs="Calibri"/>
          <w:b/>
          <w:bCs/>
        </w:rPr>
        <w:t xml:space="preserve"> 1</w:t>
      </w:r>
      <w:r w:rsidR="00654326">
        <w:rPr>
          <w:rFonts w:ascii="Calibri" w:eastAsia="MS Mincho" w:hAnsi="Calibri" w:cs="Calibri"/>
          <w:b/>
          <w:bCs/>
        </w:rPr>
        <w:t xml:space="preserve">: </w:t>
      </w:r>
      <w:r w:rsidRPr="002F77BE">
        <w:rPr>
          <w:rFonts w:ascii="Calibri" w:eastAsia="MS Mincho" w:hAnsi="Calibri" w:cs="Calibri"/>
          <w:b/>
          <w:bCs/>
        </w:rPr>
        <w:t>The Roca High-Risk Young Men Intervention Model (HYMIM)</w:t>
      </w:r>
      <w:r>
        <w:rPr>
          <w:rFonts w:ascii="Calibri" w:eastAsia="MS Mincho" w:hAnsi="Calibri" w:cs="Calibri"/>
          <w:b/>
          <w:bCs/>
        </w:rPr>
        <w:t xml:space="preserve"> </w:t>
      </w:r>
      <w:bookmarkEnd w:id="2"/>
    </w:p>
    <w:p w14:paraId="6138CC10" w14:textId="29DFB1E0" w:rsidR="0079774D" w:rsidRDefault="00FC3D08" w:rsidP="0079774D">
      <w:pPr>
        <w:spacing w:line="360" w:lineRule="auto"/>
        <w:rPr>
          <w:rFonts w:ascii="Calibri" w:eastAsia="MS Mincho" w:hAnsi="Calibri" w:cs="Calibri"/>
          <w:b/>
          <w:bCs/>
        </w:rPr>
      </w:pPr>
      <w:hyperlink r:id="rId17" w:history="1">
        <w:r w:rsidR="0079774D" w:rsidRPr="00BC268D">
          <w:rPr>
            <w:rStyle w:val="Hyperlink"/>
            <w:rFonts w:ascii="Calibri" w:eastAsia="MS Mincho" w:hAnsi="Calibri" w:cs="Calibri"/>
            <w:b/>
            <w:bCs/>
          </w:rPr>
          <w:t>https://rocainc.org/work/young-men-program/</w:t>
        </w:r>
      </w:hyperlink>
      <w:r w:rsidR="0079774D">
        <w:rPr>
          <w:rFonts w:ascii="Calibri" w:eastAsia="MS Mincho" w:hAnsi="Calibri" w:cs="Calibri"/>
          <w:b/>
          <w:bCs/>
        </w:rPr>
        <w:t xml:space="preserve"> </w:t>
      </w:r>
    </w:p>
    <w:p w14:paraId="05B79706" w14:textId="77777777" w:rsidR="00724275" w:rsidRPr="002F77BE" w:rsidRDefault="00724275" w:rsidP="0079774D">
      <w:pPr>
        <w:spacing w:line="360" w:lineRule="auto"/>
        <w:rPr>
          <w:rFonts w:ascii="Calibri" w:eastAsia="MS Mincho" w:hAnsi="Calibri" w:cs="Calibri"/>
          <w:b/>
          <w:bCs/>
        </w:rPr>
      </w:pPr>
    </w:p>
    <w:p w14:paraId="5AF95D73" w14:textId="77777777" w:rsidR="0079774D" w:rsidRPr="00055D66" w:rsidRDefault="0079774D" w:rsidP="0079774D">
      <w:pPr>
        <w:spacing w:line="360" w:lineRule="auto"/>
        <w:rPr>
          <w:rFonts w:ascii="Calibri" w:eastAsia="MS Mincho" w:hAnsi="Calibri" w:cs="Calibri"/>
        </w:rPr>
      </w:pPr>
      <w:r>
        <w:rPr>
          <w:rFonts w:ascii="Calibri" w:eastAsia="MS Mincho" w:hAnsi="Calibri" w:cs="Calibri"/>
        </w:rPr>
        <w:t xml:space="preserve">The </w:t>
      </w:r>
      <w:r w:rsidRPr="00055D66">
        <w:rPr>
          <w:rFonts w:ascii="Calibri" w:eastAsia="MS Mincho" w:hAnsi="Calibri" w:cs="Calibri"/>
        </w:rPr>
        <w:t xml:space="preserve">Roca </w:t>
      </w:r>
      <w:r>
        <w:rPr>
          <w:rFonts w:ascii="Calibri" w:eastAsia="MS Mincho" w:hAnsi="Calibri" w:cs="Calibri"/>
        </w:rPr>
        <w:t>c</w:t>
      </w:r>
      <w:r w:rsidRPr="00055D66">
        <w:rPr>
          <w:rFonts w:ascii="Calibri" w:eastAsia="MS Mincho" w:hAnsi="Calibri" w:cs="Calibri"/>
        </w:rPr>
        <w:t xml:space="preserve">omprehensive </w:t>
      </w:r>
      <w:r>
        <w:rPr>
          <w:rFonts w:ascii="Calibri" w:eastAsia="MS Mincho" w:hAnsi="Calibri" w:cs="Calibri"/>
        </w:rPr>
        <w:t>i</w:t>
      </w:r>
      <w:r w:rsidRPr="00055D66">
        <w:rPr>
          <w:rFonts w:ascii="Calibri" w:eastAsia="MS Mincho" w:hAnsi="Calibri" w:cs="Calibri"/>
        </w:rPr>
        <w:t xml:space="preserve">ntervention </w:t>
      </w:r>
      <w:r>
        <w:rPr>
          <w:rFonts w:ascii="Calibri" w:eastAsia="MS Mincho" w:hAnsi="Calibri" w:cs="Calibri"/>
        </w:rPr>
        <w:t>m</w:t>
      </w:r>
      <w:r w:rsidRPr="00055D66">
        <w:rPr>
          <w:rFonts w:ascii="Calibri" w:eastAsia="MS Mincho" w:hAnsi="Calibri" w:cs="Calibri"/>
        </w:rPr>
        <w:t xml:space="preserve">odel for </w:t>
      </w:r>
      <w:r>
        <w:rPr>
          <w:rFonts w:ascii="Calibri" w:eastAsia="MS Mincho" w:hAnsi="Calibri" w:cs="Calibri"/>
        </w:rPr>
        <w:t>h</w:t>
      </w:r>
      <w:r w:rsidRPr="00055D66">
        <w:rPr>
          <w:rFonts w:ascii="Calibri" w:eastAsia="MS Mincho" w:hAnsi="Calibri" w:cs="Calibri"/>
        </w:rPr>
        <w:t>igh-</w:t>
      </w:r>
      <w:r>
        <w:rPr>
          <w:rFonts w:ascii="Calibri" w:eastAsia="MS Mincho" w:hAnsi="Calibri" w:cs="Calibri"/>
        </w:rPr>
        <w:t>r</w:t>
      </w:r>
      <w:r w:rsidRPr="00055D66">
        <w:rPr>
          <w:rFonts w:ascii="Calibri" w:eastAsia="MS Mincho" w:hAnsi="Calibri" w:cs="Calibri"/>
        </w:rPr>
        <w:t xml:space="preserve">isk </w:t>
      </w:r>
      <w:r>
        <w:rPr>
          <w:rFonts w:ascii="Calibri" w:eastAsia="MS Mincho" w:hAnsi="Calibri" w:cs="Calibri"/>
        </w:rPr>
        <w:t>y</w:t>
      </w:r>
      <w:r w:rsidRPr="00055D66">
        <w:rPr>
          <w:rFonts w:ascii="Calibri" w:eastAsia="MS Mincho" w:hAnsi="Calibri" w:cs="Calibri"/>
        </w:rPr>
        <w:t xml:space="preserve">oung </w:t>
      </w:r>
      <w:r>
        <w:rPr>
          <w:rFonts w:ascii="Calibri" w:eastAsia="MS Mincho" w:hAnsi="Calibri" w:cs="Calibri"/>
        </w:rPr>
        <w:t>m</w:t>
      </w:r>
      <w:r w:rsidRPr="00055D66">
        <w:rPr>
          <w:rFonts w:ascii="Calibri" w:eastAsia="MS Mincho" w:hAnsi="Calibri" w:cs="Calibri"/>
        </w:rPr>
        <w:t xml:space="preserve">en was developed by ﻿Harvard Kennedy School and US National Institute of Justice. The model has a sound empirical and theoretical basis, which focuses on bridging the gap between research and theory-based practices (Baldwin and Zeira, 2017).  It focuses on practice interventions with 17- to 24-year-old men in ﻿Massachusetts who were identified as at the highest risk of future incarceration. ﻿In 2015, Roca reported that of a total of 659 high-risk young men who were engaging </w:t>
      </w:r>
      <w:r>
        <w:rPr>
          <w:rFonts w:ascii="Calibri" w:eastAsia="MS Mincho" w:hAnsi="Calibri" w:cs="Calibri"/>
        </w:rPr>
        <w:t>with</w:t>
      </w:r>
      <w:r w:rsidRPr="00055D66">
        <w:rPr>
          <w:rFonts w:ascii="Calibri" w:eastAsia="MS Mincho" w:hAnsi="Calibri" w:cs="Calibri"/>
        </w:rPr>
        <w:t xml:space="preserve"> workers in </w:t>
      </w:r>
      <w:r>
        <w:rPr>
          <w:rFonts w:ascii="Calibri" w:eastAsia="MS Mincho" w:hAnsi="Calibri" w:cs="Calibri"/>
        </w:rPr>
        <w:t>the HYMIM programme</w:t>
      </w:r>
      <w:r w:rsidRPr="00055D66">
        <w:rPr>
          <w:rFonts w:ascii="Calibri" w:eastAsia="MS Mincho" w:hAnsi="Calibri" w:cs="Calibri"/>
        </w:rPr>
        <w:t>, 84% were retained over the course of the fiscal year.</w:t>
      </w:r>
    </w:p>
    <w:p w14:paraId="2B82E43D" w14:textId="77777777" w:rsidR="0079774D" w:rsidRPr="00055D66" w:rsidRDefault="0079774D" w:rsidP="0079774D">
      <w:pPr>
        <w:spacing w:line="360" w:lineRule="auto"/>
        <w:rPr>
          <w:rFonts w:ascii="Calibri" w:eastAsia="MS Mincho" w:hAnsi="Calibri" w:cs="Calibri"/>
        </w:rPr>
      </w:pPr>
    </w:p>
    <w:p w14:paraId="577ABB5F" w14:textId="2FD33840" w:rsidR="0079774D" w:rsidRDefault="0079774D" w:rsidP="0079774D">
      <w:pPr>
        <w:spacing w:line="360" w:lineRule="auto"/>
        <w:rPr>
          <w:rFonts w:ascii="Calibri" w:eastAsia="MS Mincho" w:hAnsi="Calibri" w:cs="Calibri"/>
        </w:rPr>
      </w:pPr>
      <w:r w:rsidRPr="00055D66">
        <w:rPr>
          <w:rFonts w:ascii="Calibri" w:eastAsia="MS Mincho" w:hAnsi="Calibri" w:cs="Calibri"/>
        </w:rPr>
        <w:t>The Roca model has a ‘theory of change’ process at its heart which seeks to promote change, and long-term outcomes that prove change has been achieved (Baldwin and Zeira 2017, p.6). According to the Transtheoretical Model of Behaviour Change (Prochaska and DiClemente, 198</w:t>
      </w:r>
      <w:r w:rsidR="0080697E">
        <w:rPr>
          <w:rFonts w:ascii="Calibri" w:eastAsia="MS Mincho" w:hAnsi="Calibri" w:cs="Calibri"/>
        </w:rPr>
        <w:t>3</w:t>
      </w:r>
      <w:r w:rsidRPr="00055D66">
        <w:rPr>
          <w:rFonts w:ascii="Calibri" w:eastAsia="MS Mincho" w:hAnsi="Calibri" w:cs="Calibri"/>
        </w:rPr>
        <w:t>), behavioural change is not an event but rather a series of decisions and actions over time. This is regarded as being helpful in determining how ready participants are to engage in a change process.</w:t>
      </w:r>
    </w:p>
    <w:p w14:paraId="1A7302BB" w14:textId="77777777" w:rsidR="0079774D" w:rsidRPr="00055D66" w:rsidRDefault="0079774D" w:rsidP="0079774D">
      <w:pPr>
        <w:spacing w:line="360" w:lineRule="auto"/>
        <w:rPr>
          <w:rFonts w:ascii="Calibri" w:eastAsia="MS Mincho" w:hAnsi="Calibri" w:cs="Calibri"/>
        </w:rPr>
      </w:pPr>
    </w:p>
    <w:p w14:paraId="493C83E5" w14:textId="77777777" w:rsidR="0079774D" w:rsidRPr="00055D66" w:rsidRDefault="0079774D" w:rsidP="0079774D">
      <w:pPr>
        <w:spacing w:line="360" w:lineRule="auto"/>
        <w:jc w:val="center"/>
        <w:rPr>
          <w:rFonts w:ascii="Calibri" w:hAnsi="Calibri" w:cs="Calibri"/>
        </w:rPr>
      </w:pPr>
      <w:r w:rsidRPr="00055D66">
        <w:rPr>
          <w:rFonts w:ascii="Calibri" w:hAnsi="Calibri" w:cs="Calibri"/>
        </w:rPr>
        <w:lastRenderedPageBreak/>
        <w:fldChar w:fldCharType="begin"/>
      </w:r>
      <w:r w:rsidRPr="00055D66">
        <w:rPr>
          <w:rFonts w:ascii="Calibri" w:hAnsi="Calibri" w:cs="Calibri"/>
        </w:rPr>
        <w:instrText xml:space="preserve"> INCLUDEPICTURE "https://www.researchgate.net/profile/Simon_Mercer2/publication/306291250/figure/fig2/AS:614317737123845@1523476170166/Stages-of-Change-adapted-from-Prochaska-DiClemente-Norcross-1992-7.png" \* MERGEFORMATINET </w:instrText>
      </w:r>
      <w:r w:rsidRPr="00055D66">
        <w:rPr>
          <w:rFonts w:ascii="Calibri" w:hAnsi="Calibri" w:cs="Calibri"/>
        </w:rPr>
        <w:fldChar w:fldCharType="separate"/>
      </w:r>
      <w:r w:rsidRPr="00055D66">
        <w:rPr>
          <w:rFonts w:ascii="Calibri" w:hAnsi="Calibri" w:cs="Calibri"/>
          <w:noProof/>
        </w:rPr>
        <w:drawing>
          <wp:inline distT="0" distB="0" distL="0" distR="0" wp14:anchorId="1610F1D6" wp14:editId="231A50B9">
            <wp:extent cx="5307446" cy="3416300"/>
            <wp:effectExtent l="19050" t="19050" r="26670" b="12700"/>
            <wp:docPr id="11" name="Picture 11" descr="Image result for prochaska and dicle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rochaska and dicle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9592" cy="3443429"/>
                    </a:xfrm>
                    <a:prstGeom prst="rect">
                      <a:avLst/>
                    </a:prstGeom>
                    <a:noFill/>
                    <a:ln>
                      <a:solidFill>
                        <a:sysClr val="windowText" lastClr="000000"/>
                      </a:solidFill>
                    </a:ln>
                  </pic:spPr>
                </pic:pic>
              </a:graphicData>
            </a:graphic>
          </wp:inline>
        </w:drawing>
      </w:r>
      <w:r w:rsidRPr="00055D66">
        <w:rPr>
          <w:rFonts w:ascii="Calibri" w:hAnsi="Calibri" w:cs="Calibri"/>
        </w:rPr>
        <w:fldChar w:fldCharType="end"/>
      </w:r>
    </w:p>
    <w:p w14:paraId="319CB85E" w14:textId="77777777" w:rsidR="0079774D" w:rsidRPr="00055D66" w:rsidRDefault="0079774D" w:rsidP="0079774D">
      <w:pPr>
        <w:spacing w:line="360" w:lineRule="auto"/>
        <w:ind w:left="3600" w:firstLine="720"/>
        <w:jc w:val="center"/>
        <w:rPr>
          <w:rFonts w:ascii="Calibri" w:hAnsi="Calibri" w:cs="Calibri"/>
        </w:rPr>
      </w:pPr>
      <w:r w:rsidRPr="00055D66">
        <w:rPr>
          <w:rFonts w:ascii="Calibri" w:hAnsi="Calibri" w:cs="Calibri"/>
        </w:rPr>
        <w:t>Figure 2: Theory of Change model</w:t>
      </w:r>
    </w:p>
    <w:p w14:paraId="6459AF42" w14:textId="77777777" w:rsidR="0079774D" w:rsidRPr="00055D66" w:rsidRDefault="0079774D" w:rsidP="0079774D">
      <w:pPr>
        <w:spacing w:line="360" w:lineRule="auto"/>
        <w:jc w:val="center"/>
        <w:rPr>
          <w:rFonts w:ascii="Calibri" w:hAnsi="Calibri" w:cs="Calibri"/>
        </w:rPr>
      </w:pPr>
    </w:p>
    <w:p w14:paraId="5FA57142"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An appreciation of </w:t>
      </w:r>
      <w:r>
        <w:rPr>
          <w:rFonts w:ascii="Calibri" w:eastAsia="MS Mincho" w:hAnsi="Calibri" w:cs="Calibri"/>
        </w:rPr>
        <w:t>a</w:t>
      </w:r>
      <w:r w:rsidRPr="00055D66">
        <w:rPr>
          <w:rFonts w:ascii="Calibri" w:eastAsia="MS Mincho" w:hAnsi="Calibri" w:cs="Calibri"/>
        </w:rPr>
        <w:t xml:space="preserve">dolescent </w:t>
      </w:r>
      <w:r>
        <w:rPr>
          <w:rFonts w:ascii="Calibri" w:eastAsia="MS Mincho" w:hAnsi="Calibri" w:cs="Calibri"/>
        </w:rPr>
        <w:t>b</w:t>
      </w:r>
      <w:r w:rsidRPr="00055D66">
        <w:rPr>
          <w:rFonts w:ascii="Calibri" w:eastAsia="MS Mincho" w:hAnsi="Calibri" w:cs="Calibri"/>
        </w:rPr>
        <w:t xml:space="preserve">rain </w:t>
      </w:r>
      <w:r>
        <w:rPr>
          <w:rFonts w:ascii="Calibri" w:eastAsia="MS Mincho" w:hAnsi="Calibri" w:cs="Calibri"/>
        </w:rPr>
        <w:t>d</w:t>
      </w:r>
      <w:r w:rsidRPr="00055D66">
        <w:rPr>
          <w:rFonts w:ascii="Calibri" w:eastAsia="MS Mincho" w:hAnsi="Calibri" w:cs="Calibri"/>
        </w:rPr>
        <w:t>evelopment is also an important consideration along with the theory of change in the Roca approach. ﻿Young adults’ brains continue to mature well into their mid-20s. They tend to be greater risk-takers, more impulsive, and less future-oriented in their decision-making process. High-risk young men may simply not be ready to change (pre-contemplation); so if an intervention program</w:t>
      </w:r>
      <w:r>
        <w:rPr>
          <w:rFonts w:ascii="Calibri" w:eastAsia="MS Mincho" w:hAnsi="Calibri" w:cs="Calibri"/>
        </w:rPr>
        <w:t>me</w:t>
      </w:r>
      <w:r w:rsidRPr="00055D66">
        <w:rPr>
          <w:rFonts w:ascii="Calibri" w:eastAsia="MS Mincho" w:hAnsi="Calibri" w:cs="Calibri"/>
        </w:rPr>
        <w:t xml:space="preserve"> is committed to addressing their needs, it should meet them where they are, ‘rather than wait until they advance’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Baldwin","given":"Molly","non-dropping-particle":"","parse-names":false,"suffix":""},{"dropping-particle":"","family":"Zeira","given":"Yotam","non-dropping-particle":"","parse-names":false,"suffix":""}],"id":"ITEM-1","issue":"5","issued":{"date-parts":[["2017"]]},"title":"New Thinking in Community Corrections Executive Session on Community Corrections","type":"article-journal"},"locator":"16","uris":["http://www.mendeley.com/documents/?uuid=c0a6f3cb-303d-4a5f-b99d-fefdf225e933"]}],"mendeley":{"formattedCitation":"(Baldwin and Zeira, 2017, p. 16)","plainTextFormattedCitation":"(Baldwin and Zeira, 2017, p. 16)","previouslyFormattedCitation":"(Baldwin and Zeira, 2017, p. 16)"},"properties":{"noteIndex":0},"schema":"https://github.com/citation-style-language/schema/raw/master/csl-citation.json"}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(Baldwin and Zeira, 2017, p. 16)</w:t>
      </w:r>
      <w:r w:rsidRPr="00055D66">
        <w:rPr>
          <w:rFonts w:ascii="Calibri" w:eastAsia="MS Mincho" w:hAnsi="Calibri" w:cs="Calibri"/>
        </w:rPr>
        <w:fldChar w:fldCharType="end"/>
      </w:r>
      <w:r w:rsidRPr="00055D66">
        <w:rPr>
          <w:rFonts w:ascii="Calibri" w:eastAsia="MS Mincho" w:hAnsi="Calibri" w:cs="Calibri"/>
        </w:rPr>
        <w:t xml:space="preserve">. The notion of ‘﻿Relentless Outreach’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Baldwin","given":"Molly","non-dropping-particle":"","parse-names":false,"suffix":""},{"dropping-particle":"","family":"Zeira","given":"Yotam","non-dropping-particle":"","parse-names":false,"suffix":""}],"id":"ITEM-1","issue":"5","issued":{"date-parts":[["2017"]]},"title":"New Thinking in Community Corrections Executive Session on Community Corrections","type":"article-journal"},"uris":["http://www.mendeley.com/documents/?uuid=c0a6f3cb-303d-4a5f-b99d-fefdf225e933"]}],"mendeley":{"formattedCitation":"(Baldwin and Zeira, 2017)","plainTextFormattedCitation":"(Baldwin and Zeira, 2017)","previouslyFormattedCitation":"(Baldwin and Zeira,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(Baldwin and Zeira, 2017)</w:t>
      </w:r>
      <w:r w:rsidRPr="00055D66">
        <w:rPr>
          <w:rFonts w:ascii="Calibri" w:eastAsia="MS Mincho" w:hAnsi="Calibri" w:cs="Calibri"/>
        </w:rPr>
        <w:fldChar w:fldCharType="end"/>
      </w:r>
      <w:r w:rsidRPr="00055D66">
        <w:rPr>
          <w:rFonts w:ascii="Calibri" w:eastAsia="MS Mincho" w:hAnsi="Calibri" w:cs="Calibri"/>
        </w:rPr>
        <w:t xml:space="preserve"> is key here, whereby workers are supported to be continually responsive and aware that young men are in a place of ﻿pre-contemplation. The headings as below have been derived from the Roca model to assist with addressing some key aspects of the intervention process as relevant to Brighton and Hove.</w:t>
      </w:r>
    </w:p>
    <w:p w14:paraId="68F6DB99" w14:textId="5E14C3F3" w:rsidR="0079774D" w:rsidRDefault="0079774D" w:rsidP="0079774D">
      <w:pPr>
        <w:spacing w:line="360" w:lineRule="auto"/>
        <w:rPr>
          <w:rFonts w:ascii="Calibri" w:eastAsia="MS Mincho" w:hAnsi="Calibri" w:cs="Calibri"/>
          <w:i/>
          <w:iCs/>
        </w:rPr>
      </w:pPr>
    </w:p>
    <w:p w14:paraId="5DAE2993" w14:textId="77777777" w:rsidR="00301C85" w:rsidRPr="00D57746" w:rsidRDefault="00301C85" w:rsidP="0079774D">
      <w:pPr>
        <w:spacing w:line="360" w:lineRule="auto"/>
        <w:rPr>
          <w:rFonts w:ascii="Calibri" w:eastAsia="MS Mincho" w:hAnsi="Calibri" w:cs="Calibri"/>
          <w:i/>
          <w:iCs/>
        </w:rPr>
      </w:pPr>
    </w:p>
    <w:p w14:paraId="615368A0" w14:textId="77777777" w:rsidR="0079774D" w:rsidRPr="00301C85" w:rsidRDefault="0079774D" w:rsidP="0079774D">
      <w:pPr>
        <w:pStyle w:val="ListParagraph"/>
        <w:numPr>
          <w:ilvl w:val="2"/>
          <w:numId w:val="39"/>
        </w:numPr>
        <w:spacing w:line="360" w:lineRule="auto"/>
        <w:rPr>
          <w:rFonts w:ascii="Calibri" w:hAnsi="Calibri" w:cs="Calibri"/>
          <w:i/>
          <w:iCs/>
        </w:rPr>
      </w:pPr>
      <w:r w:rsidRPr="00301C85">
        <w:rPr>
          <w:rFonts w:ascii="Calibri" w:hAnsi="Calibri" w:cs="Calibri"/>
          <w:i/>
          <w:iCs/>
        </w:rPr>
        <w:lastRenderedPageBreak/>
        <w:t xml:space="preserve">Needs assessment  </w:t>
      </w:r>
    </w:p>
    <w:p w14:paraId="57E1BF7B"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Assessment is an ongoing process; ‘a person’s needs and risks may change, and building capacity to observe such changes is part of this principle’ (Baldwin and Zeira 2017, p.3).  In Brighton and Hove work with the most ‘hard to reach’ young men known to services, this element might be best represented by EAS and YOT. The risks the young person might present to themselves and the wider community are regularly assessed and reviewed.</w:t>
      </w:r>
    </w:p>
    <w:p w14:paraId="0A7BA71B" w14:textId="77777777" w:rsidR="0079774D" w:rsidRPr="00055D66" w:rsidRDefault="0079774D" w:rsidP="0079774D">
      <w:pPr>
        <w:spacing w:line="360" w:lineRule="auto"/>
        <w:rPr>
          <w:rFonts w:ascii="Calibri" w:eastAsia="MS Mincho" w:hAnsi="Calibri" w:cs="Calibri"/>
        </w:rPr>
      </w:pPr>
    </w:p>
    <w:p w14:paraId="44C66CFB"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Behavioural changes around ambivalence to behaviour change, for example, may be achieved through using the Motivational Interviewing technique (MI). ﻿ MI is a ‘directive client-centred counselling style’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{"citationItems":[{"id":"ITEM-1","itemData":{"DOI":"10.1093/alcalc/agh199","ISSN":"07350414","abstract":"AIM\\n\\nTo test whether a single session of Motivational Interviewing (MI) focussing on drinking alcohol, and cigarette and cannabis smoking, would successfully lead to reductions in use or problems.\\n\\n\\nMETHODS\\n\\nNaturalistic quasi-experimental study, in 162 young people (mean age 17 years) who were daily cigarette smokers, weekly drinkers or weekly cannabis smokers, comparing 59 receiving MI with 103 non-intervention assessment-only controls. MI was delivered in a single session by youth workers or by the first author. Assessment was made of changes in self-reported cigarette, alcohol, cannabis use and related indicators of risk and problems between recruitment and after 3 months by self-completion questionnaire.\\n\\n\\nRESULTS\\n\\n87% of subjects (141 of 162) were followed up. The most substantial evidence of benefit was achieved in relation to alcohol consumption, with those receiving MI drinking on average two days per month less than controls after 3 months. Weaker evidences of impact on cigarette smoking, and no evidence of impact on cannabis use, were obtained.\\n\\n\\nCONCLUSIONS\\n\\nEvidence of effectiveness for the delivery of MI by youth workers in routine conditions has been identified. However, the extent of benefit is much more modest than previously identified in efficacy studies.","author":[{"dropping-particle":"","family":"Gray","given":"Emily","non-dropping-particle":"","parse-names":false,"suffix":""},{"dropping-particle":"","family":"McCambridge","given":"Jim","non-dropping-particle":"","parse-names":false,"suffix":""},{"dropping-particle":"","family":"Strang","given":"John","non-dropping-particle":"","parse-names":false,"suffix":""}],"container-title":"Alcohol and Alcoholism","id":"ITEM-1","issue":"6","issued":{"date-parts":[["2005"]]},"page":"535-539","title":"The effectiveness of Motivational Interviewing delivered by youth workers in reducing drinking, cigarette and cannabis smoking among youth people: Quasi-experimental pilot study","type":"article-journal","volume":"40"},"locator":"535","uris":["http://www.mendeley.com/documents/?uuid=1e55e6ad-0eba-4f69-b984-97f66adcb907"]}],"mendeley":{"formattedCitation":"(Gray, McCambridge and Strang, 2005, p. 535)","plainTextFormattedCitation":"(Gray, McCambridge and Strang, 2005, p. 535)","previouslyFormattedCitation":"(Gray, McCambridge and Strang, 2005, p. 535)"},"properties":{"noteIndex":0},"schema":"https://github.com/citation-style-language/schema/raw/master/csl-citation.json"}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(Gray, McCambridge and Strang, 2005, p.535)</w:t>
      </w:r>
      <w:r w:rsidRPr="00055D66">
        <w:rPr>
          <w:rFonts w:ascii="Calibri" w:eastAsia="MS Mincho" w:hAnsi="Calibri" w:cs="Calibri"/>
        </w:rPr>
        <w:fldChar w:fldCharType="end"/>
      </w:r>
      <w:r w:rsidRPr="00055D66">
        <w:rPr>
          <w:rFonts w:ascii="Calibri" w:eastAsia="MS Mincho" w:hAnsi="Calibri" w:cs="Calibri"/>
        </w:rPr>
        <w:t xml:space="preserve">, the aim of which is to encourage reflection on the risks associated with behaviours such as drug use within the con- text of personal values and goals (Miller and Rollnick, 2002). This is consistent with a strengths-based perspective, ﻿and is reported to be effective with adolescent substance users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Price","given":"Mark","non-dropping-particle":"","parse-names":false,"suffix":""},{"dropping-particle":"","family":"Ginn","given":"Sue","non-dropping-particle":"","parse-names":false,"suffix":""}],"id":"ITEM-1","issue":"June","issued":{"date-parts":[["2008"]]},"page":"1-26","title":"Targeted Youth Support Interventions","type":"article-journal"},"uris":["http://www.mendeley.com/documents/?uuid=bdad75a9-695d-4cf8-b865-94c511e72104"]}],"mendeley":{"formattedCitation":"(Price and Ginn, 2008)","plainTextFormattedCitation":"(Price and Ginn, 2008)","previouslyFormattedCitation":"(Price and Ginn, 2008)"},"properties":{"noteIndex":0},"schema":"https://github.com/citation-style-language/schema/raw/master/csl-citation.json"}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(Price and Ginn, 2008)</w:t>
      </w:r>
      <w:r w:rsidRPr="00055D66">
        <w:rPr>
          <w:rFonts w:ascii="Calibri" w:eastAsia="MS Mincho" w:hAnsi="Calibri" w:cs="Calibri"/>
        </w:rPr>
        <w:fldChar w:fldCharType="end"/>
      </w:r>
      <w:r w:rsidRPr="00055D66">
        <w:rPr>
          <w:rFonts w:ascii="Calibri" w:eastAsia="MS Mincho" w:hAnsi="Calibri" w:cs="Calibri"/>
        </w:rPr>
        <w:t xml:space="preserve">. It acknowledges that a young man’s range of skills and resources helps to prepare them for targeted interventions. </w:t>
      </w:r>
    </w:p>
    <w:p w14:paraId="0B4FBF8A" w14:textId="77777777" w:rsidR="0079774D" w:rsidRPr="00055D66" w:rsidRDefault="0079774D" w:rsidP="0079774D">
      <w:pPr>
        <w:spacing w:line="360" w:lineRule="auto"/>
        <w:rPr>
          <w:rFonts w:ascii="Calibri" w:eastAsia="MS Mincho" w:hAnsi="Calibri" w:cs="Calibri"/>
        </w:rPr>
      </w:pPr>
    </w:p>
    <w:p w14:paraId="0D73C942" w14:textId="369330B9"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Strength focused interventions are identified in the wider research as important; in a study about peer-on-peer abuse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{"citationItems":[{"id":"ITEM-1","itemData":{"DOI":"10.1002/car.2449","ISSN":"10990852","abstract":"Practitioners, academics and policymakers are increasingly questioning the sufficiency of safeguarding practice in protecting young people from peer-on-peer abuse in England. Using the findings from an in-depth analysis of nine cases where young people either raped or murdered their peers, this article explores approaches to assessing and intervening with those affected by peer-on-peer abuse. Building upon international calls for a contextual account of abuse between young people, the article identifies a professional struggle to address the interplay between young people's homes and the public and social spaces in which peer-on-peer abuse often manifests. Findings from this study are used to illuminate wider research into peer-on-peer abuse which has indicated a professional inability to: assess young people's behaviours with reference to the contexts in which they occur; change the environmental factors that influence abusive behaviours; and recognise the vulnerability of those who abuse their peers. The article concludes that to effectively respond to peer-on-peer abuse, multiagency partnerships are required which can identify, assess and intervene with the harmful norms in peer groups, schools and public spaces that can facilitate peer-on-peer abuse and undermine parental capacity to keep young people safe – thereby adopting a more contextual approach to safeguarding adolescents. Copyright © 2017 John Wiley &amp; Sons, Ltd. ‘Explores approaches to assessing and intervening with those affected by peer-on-peer abuse’. Key Practitioner Messages: Social contexts such as peer groups, schools and neighbourhoods can make young people vulnerable to peer-on-peer abuse. Assessing and intervening with young people and families affected by peer-on-peer abuse will not impact upon the social contexts associated with the phenomenon. Multiagency partnerships need to intervene with social contexts that, albeit beyond the traditional remit of child protection, facilitate peer-on-peer abuse and undermine the capacity of parents to keep young people safe. ‘Social contexts such as peer groups, schools and neighbourhoods can make young people vulnerable to peer-on-peer abuse’. Copyright © 2017 John Wiley &amp; Sons, Ltd.","author":[{"dropping-particle":"","family":"Firmin","given":"Carlene","non-dropping-particle":"","parse-names":false,"suffix":""}],"container-title":"Child Abuse Review","id":"ITEM-1","issue":"1","issued":{"date-parts":[["2018"]]},"page":"42-57","title":"Contextual Risk, Individualised Responses: An Assessment of Safeguarding Responses to Nine Cases of Peer-on-Peer Abuse","type":"article-journal","volume":"27"},"uris":["http://www.mendeley.com/documents/?uuid=5ae73670-6dd1-4c55-a436-9efceca273e6"]}],"mendeley":{"formattedCitation":"(Firmin, 2018)","plainTextFormattedCitation":"(Firmin, 2018)","previouslyFormattedCitation":"(Firmin, 2018)"},"properties":{"noteIndex":0},"schema":"https://github.com/citation-style-language/schema/raw/master/csl-citation.json"}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(Firmin, 2018)</w:t>
      </w:r>
      <w:r w:rsidRPr="00055D66">
        <w:rPr>
          <w:rFonts w:ascii="Calibri" w:eastAsia="MS Mincho" w:hAnsi="Calibri" w:cs="Calibri"/>
        </w:rPr>
        <w:fldChar w:fldCharType="end"/>
      </w:r>
      <w:r w:rsidRPr="00055D66">
        <w:rPr>
          <w:rFonts w:ascii="Calibri" w:eastAsia="MS Mincho" w:hAnsi="Calibri" w:cs="Calibri"/>
        </w:rPr>
        <w:t xml:space="preserve">, nine case files were drawn from an opportune sample located in a police service. Findings in this small study indicated that ‘assessments focused on the ability of young people…to avoid abusive peer groups…, rather than the ability of professionals to make those environments safer’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{"citationItems":[{"id":"ITEM-1","itemData":{"DOI":"10.1002/car.2449","ISSN":"10990852","abstract":"Practitioners, academics and policymakers are increasingly questioning the sufficiency of safeguarding practice in protecting young people from peer-on-peer abuse in England. Using the findings from an in-depth analysis of nine cases where young people either raped or murdered their peers, this article explores approaches to assessing and intervening with those affected by peer-on-peer abuse. Building upon international calls for a contextual account of abuse between young people, the article identifies a professional struggle to address the interplay between young people's homes and the public and social spaces in which peer-on-peer abuse often manifests. Findings from this study are used to illuminate wider research into peer-on-peer abuse which has indicated a professional inability to: assess young people's behaviours with reference to the contexts in which they occur; change the environmental factors that influence abusive behaviours; and recognise the vulnerability of those who abuse their peers. The article concludes that to effectively respond to peer-on-peer abuse, multiagency partnerships are required which can identify, assess and intervene with the harmful norms in peer groups, schools and public spaces that can facilitate peer-on-peer abuse and undermine parental capacity to keep young people safe – thereby adopting a more contextual approach to safeguarding adolescents. Copyright © 2017 John Wiley &amp; Sons, Ltd. ‘Explores approaches to assessing and intervening with those affected by peer-on-peer abuse’. Key Practitioner Messages: Social contexts such as peer groups, schools and neighbourhoods can make young people vulnerable to peer-on-peer abuse. Assessing and intervening with young people and families affected by peer-on-peer abuse will not impact upon the social contexts associated with the phenomenon. Multiagency partnerships need to intervene with social contexts that, albeit beyond the traditional remit of child protection, facilitate peer-on-peer abuse and undermine the capacity of parents to keep young people safe. ‘Social contexts such as peer groups, schools and neighbourhoods can make young people vulnerable to peer-on-peer abuse’. Copyright © 2017 John Wiley &amp; Sons, Ltd.","author":[{"dropping-particle":"","family":"Firmin","given":"Carlene","non-dropping-particle":"","parse-names":false,"suffix":""}],"container-title":"Child Abuse Review","id":"ITEM-1","issue":"1","issued":{"date-parts":[["2018"]]},"page":"42-57","title":"Contextual Risk, Individualised Responses: An Assessment of Safeguarding Responses to Nine Cases of Peer-on-Peer Abuse","type":"article-journal","volume":"27"},"locator":"49","uris":["http://www.mendeley.com/documents/?uuid=5ae73670-6dd1-4c55-a436-9efceca273e6"]}],"mendeley":{"formattedCitation":"(Firmin, 2018, p. 49)","plainTextFormattedCitation":"(Firmin, 2018, p. 49)","previouslyFormattedCitation":"(Firmin, 2018, p. 49)"},"properties":{"noteIndex":0},"schema":"https://github.com/citation-style-language/schema/raw/master/csl-citation.json"}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(Firmin, 2018, p. 49)</w:t>
      </w:r>
      <w:r w:rsidRPr="00055D66">
        <w:rPr>
          <w:rFonts w:ascii="Calibri" w:eastAsia="MS Mincho" w:hAnsi="Calibri" w:cs="Calibri"/>
        </w:rPr>
        <w:fldChar w:fldCharType="end"/>
      </w:r>
      <w:r w:rsidR="00B43CB9">
        <w:rPr>
          <w:rStyle w:val="FootnoteReference"/>
          <w:rFonts w:ascii="Calibri" w:eastAsia="MS Mincho" w:hAnsi="Calibri" w:cs="Calibri"/>
        </w:rPr>
        <w:footnoteReference w:id="4"/>
      </w:r>
      <w:r w:rsidRPr="00055D66">
        <w:rPr>
          <w:rFonts w:ascii="Calibri" w:eastAsia="MS Mincho" w:hAnsi="Calibri" w:cs="Calibri"/>
        </w:rPr>
        <w:t xml:space="preserve">. </w:t>
      </w:r>
    </w:p>
    <w:p w14:paraId="2DFC9E54" w14:textId="3B8EE3C3" w:rsidR="0079774D" w:rsidRDefault="0079774D" w:rsidP="0079774D">
      <w:pPr>
        <w:spacing w:line="360" w:lineRule="auto"/>
        <w:rPr>
          <w:rFonts w:ascii="Calibri" w:eastAsia="MS Mincho" w:hAnsi="Calibri" w:cs="Calibri"/>
          <w:i/>
          <w:iCs/>
        </w:rPr>
      </w:pPr>
    </w:p>
    <w:p w14:paraId="73C4754C" w14:textId="3F6CF88A" w:rsidR="00301C85" w:rsidRDefault="00301C85" w:rsidP="0079774D">
      <w:pPr>
        <w:spacing w:line="360" w:lineRule="auto"/>
        <w:rPr>
          <w:rFonts w:ascii="Calibri" w:eastAsia="MS Mincho" w:hAnsi="Calibri" w:cs="Calibri"/>
          <w:i/>
          <w:iCs/>
        </w:rPr>
      </w:pPr>
    </w:p>
    <w:p w14:paraId="52878F90" w14:textId="77777777" w:rsidR="00301C85" w:rsidRPr="00D57746" w:rsidRDefault="00301C85" w:rsidP="0079774D">
      <w:pPr>
        <w:spacing w:line="360" w:lineRule="auto"/>
        <w:rPr>
          <w:rFonts w:ascii="Calibri" w:eastAsia="MS Mincho" w:hAnsi="Calibri" w:cs="Calibri"/>
          <w:i/>
          <w:iCs/>
        </w:rPr>
      </w:pPr>
    </w:p>
    <w:p w14:paraId="4F52BC94" w14:textId="77777777" w:rsidR="0079774D" w:rsidRPr="00301C85" w:rsidRDefault="0079774D" w:rsidP="0079774D">
      <w:pPr>
        <w:pStyle w:val="ListParagraph"/>
        <w:numPr>
          <w:ilvl w:val="2"/>
          <w:numId w:val="39"/>
        </w:numPr>
        <w:spacing w:line="360" w:lineRule="auto"/>
        <w:rPr>
          <w:rFonts w:ascii="Calibri" w:hAnsi="Calibri" w:cs="Calibri"/>
          <w:i/>
          <w:iCs/>
        </w:rPr>
      </w:pPr>
      <w:r w:rsidRPr="00301C85">
        <w:rPr>
          <w:rFonts w:ascii="Calibri" w:hAnsi="Calibri" w:cs="Calibri"/>
          <w:i/>
          <w:iCs/>
        </w:rPr>
        <w:lastRenderedPageBreak/>
        <w:t>Skill train with directed practice</w:t>
      </w:r>
    </w:p>
    <w:p w14:paraId="34195F38"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This principle of working with young me</w:t>
      </w:r>
      <w:r>
        <w:rPr>
          <w:rFonts w:ascii="Calibri" w:eastAsia="MS Mincho" w:hAnsi="Calibri" w:cs="Calibri"/>
        </w:rPr>
        <w:t>n</w:t>
      </w:r>
      <w:r w:rsidRPr="00055D66">
        <w:rPr>
          <w:rFonts w:ascii="Calibri" w:eastAsia="MS Mincho" w:hAnsi="Calibri" w:cs="Calibri"/>
        </w:rPr>
        <w:t xml:space="preserve"> suggests that programming staff should be trained in use of Cognitive-Behavioural Therapy (CBT) skills, but the principles of this mode of intervention should be brought ‘to people in the streets’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Baldwin","given":"Molly","non-dropping-particle":"","parse-names":false,"suffix":""},{"dropping-particle":"","family":"Zeira","given":"Yotam","non-dropping-particle":"","parse-names":false,"suffix":""}],"id":"ITEM-1","issue":"5","issued":{"date-parts":[["2017"]]},"title":"New Thinking in Community Corrections Executive Session on Community Corrections","type":"article-journal"},"locator":"7","uris":["http://www.mendeley.com/documents/?uuid=c0a6f3cb-303d-4a5f-b99d-fefdf225e933"]}],"mendeley":{"formattedCitation":"(Baldwin and Zeira, 2017, p. 7)","plainTextFormattedCitation":"(Baldwin and Zeira, 2017, p. 7)","previouslyFormattedCitation":"(Baldwin and Zeira, 2017, p. 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(Baldwin and Zeira, 2017, p.7)</w:t>
      </w:r>
      <w:r w:rsidRPr="00055D66">
        <w:rPr>
          <w:rFonts w:ascii="Calibri" w:eastAsia="MS Mincho" w:hAnsi="Calibri" w:cs="Calibri"/>
        </w:rPr>
        <w:fldChar w:fldCharType="end"/>
      </w:r>
      <w:r w:rsidRPr="00055D66">
        <w:rPr>
          <w:rFonts w:ascii="Calibri" w:eastAsia="MS Mincho" w:hAnsi="Calibri" w:cs="Calibri"/>
        </w:rPr>
        <w:t xml:space="preserve">  rather than carried out in more traditional, clinical settings﻿. </w:t>
      </w:r>
    </w:p>
    <w:p w14:paraId="4C66BEEF" w14:textId="77777777" w:rsidR="0079774D" w:rsidRPr="00055D66" w:rsidRDefault="0079774D" w:rsidP="0079774D">
      <w:pPr>
        <w:spacing w:line="360" w:lineRule="auto"/>
        <w:rPr>
          <w:rFonts w:ascii="Calibri" w:eastAsia="MS Mincho" w:hAnsi="Calibri" w:cs="Calibri"/>
        </w:rPr>
      </w:pPr>
    </w:p>
    <w:p w14:paraId="1CB7BDA1"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The CBT approach asserts that emotions, thoughts, and actions are interrelated, and that if intervention is intended to yield change in behaviour, it needs to pay attention to changing people’s distorted thoughts. A CBT ‘curriculum’ and “CBT language” have been devised specifically for work with hard-to-reach young men who come into contact with the organisation’s workers. ﻿There are ten skills that can be taught in classes of 15 to 45 minutes (individually and in small groups) and has ‘become an inseparable part of the Roca model. </w:t>
      </w:r>
    </w:p>
    <w:p w14:paraId="4FF2850E" w14:textId="77777777" w:rsidR="0079774D" w:rsidRPr="00301C85" w:rsidRDefault="0079774D" w:rsidP="0079774D">
      <w:pPr>
        <w:spacing w:line="360" w:lineRule="auto"/>
        <w:rPr>
          <w:rFonts w:ascii="Calibri" w:eastAsia="MS Mincho" w:hAnsi="Calibri" w:cs="Calibri"/>
        </w:rPr>
      </w:pPr>
    </w:p>
    <w:p w14:paraId="25E75370" w14:textId="77777777" w:rsidR="0079774D" w:rsidRPr="00301C85" w:rsidRDefault="0079774D" w:rsidP="0079774D">
      <w:pPr>
        <w:pStyle w:val="ListParagraph"/>
        <w:numPr>
          <w:ilvl w:val="2"/>
          <w:numId w:val="39"/>
        </w:numPr>
        <w:spacing w:line="360" w:lineRule="auto"/>
        <w:rPr>
          <w:rFonts w:ascii="Calibri" w:hAnsi="Calibri" w:cs="Calibri"/>
          <w:i/>
          <w:iCs/>
        </w:rPr>
      </w:pPr>
      <w:r w:rsidRPr="00301C85">
        <w:rPr>
          <w:rFonts w:ascii="Calibri" w:hAnsi="Calibri" w:cs="Calibri"/>
          <w:i/>
          <w:iCs/>
        </w:rPr>
        <w:t>Increase positive reinforcement</w:t>
      </w:r>
    </w:p>
    <w:p w14:paraId="3678B200"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u w:val="single"/>
        </w:rPr>
        <w:t>﻿</w:t>
      </w:r>
      <w:r w:rsidRPr="00055D66">
        <w:rPr>
          <w:rFonts w:ascii="Calibri" w:eastAsia="MS Mincho" w:hAnsi="Calibri" w:cs="Calibri"/>
        </w:rPr>
        <w:t>Positive reinforcement has been identified in research as a principle that encourages behaviour change, Roca’s Youth Workers provide ongoing feedback to participants throughout the phases of their transformational relationships. They ﻿receive certificates and small gifts to recognize their achievements.</w:t>
      </w:r>
    </w:p>
    <w:p w14:paraId="4F517A53" w14:textId="77777777" w:rsidR="0079774D" w:rsidRPr="00301C85" w:rsidRDefault="0079774D" w:rsidP="0079774D">
      <w:pPr>
        <w:spacing w:line="360" w:lineRule="auto"/>
        <w:rPr>
          <w:rFonts w:ascii="Calibri" w:eastAsia="MS Mincho" w:hAnsi="Calibri" w:cs="Calibri"/>
        </w:rPr>
      </w:pPr>
    </w:p>
    <w:p w14:paraId="03CE9135" w14:textId="77777777" w:rsidR="0079774D" w:rsidRPr="00301C85" w:rsidRDefault="0079774D" w:rsidP="0079774D">
      <w:pPr>
        <w:pStyle w:val="ListParagraph"/>
        <w:numPr>
          <w:ilvl w:val="2"/>
          <w:numId w:val="39"/>
        </w:numPr>
        <w:spacing w:line="360" w:lineRule="auto"/>
        <w:rPr>
          <w:rFonts w:ascii="Calibri" w:hAnsi="Calibri" w:cs="Calibri"/>
          <w:i/>
          <w:iCs/>
        </w:rPr>
      </w:pPr>
      <w:r w:rsidRPr="00301C85">
        <w:rPr>
          <w:rFonts w:ascii="Calibri" w:hAnsi="Calibri" w:cs="Calibri"/>
          <w:i/>
          <w:iCs/>
        </w:rPr>
        <w:t xml:space="preserve">Engage on-going support in natural communities </w:t>
      </w:r>
    </w:p>
    <w:p w14:paraId="26A54392"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Individuals should be worked with in their home communities, and support is only effective if it occurs at physical sites that are easily accessible by public transportation from the communities served. However, engagement with the community does not only occur through the physical location. It is often the case they young men live in the same communities they grew up in, and consequently where they have faced harm or harmed others. ﻿This means the communities often experience the consequences when young men relapse during the change process. Therefore, community involvement in interventions is important. Workers may connect with </w:t>
      </w:r>
      <w:r w:rsidRPr="00055D66">
        <w:rPr>
          <w:rFonts w:ascii="Calibri" w:eastAsia="MS Mincho" w:hAnsi="Calibri" w:cs="Calibri"/>
        </w:rPr>
        <w:lastRenderedPageBreak/>
        <w:t xml:space="preserve">‘﻿the young person’s closest circles, a connection that creates a positive reinforcement to promote behaviour change’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Baldwin","given":"Molly","non-dropping-particle":"","parse-names":false,"suffix":""},{"dropping-particle":"","family":"Zeira","given":"Yotam","non-dropping-particle":"","parse-names":false,"suffix":""}],"id":"ITEM-1","issue":"5","issued":{"date-parts":[["2017"]]},"title":"New Thinking in Community Corrections Executive Session on Community Corrections","type":"article-journal"},"locator":"19","uris":["http://www.mendeley.com/documents/?uuid=c0a6f3cb-303d-4a5f-b99d-fefdf225e933"]}],"mendeley":{"formattedCitation":"(Baldwin and Zeira, 2017, p. 19)","plainTextFormattedCitation":"(Baldwin and Zeira, 2017, p. 19)","previouslyFormattedCitation":"(Baldwin and Zeira, 2017, p. 19)"},"properties":{"noteIndex":0},"schema":"https://github.com/citation-style-language/schema/raw/master/csl-citation.json"}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(Baldwin and Zeira, 2017, p.19)</w:t>
      </w:r>
      <w:r w:rsidRPr="00055D66">
        <w:rPr>
          <w:rFonts w:ascii="Calibri" w:eastAsia="MS Mincho" w:hAnsi="Calibri" w:cs="Calibri"/>
        </w:rPr>
        <w:fldChar w:fldCharType="end"/>
      </w:r>
      <w:r w:rsidRPr="00055D66">
        <w:rPr>
          <w:rFonts w:ascii="Calibri" w:eastAsia="MS Mincho" w:hAnsi="Calibri" w:cs="Calibri"/>
        </w:rPr>
        <w:t xml:space="preserve">. </w:t>
      </w:r>
    </w:p>
    <w:p w14:paraId="2D1DFD0D" w14:textId="77777777" w:rsidR="0079774D" w:rsidRPr="00055D66" w:rsidRDefault="0079774D" w:rsidP="0079774D">
      <w:pPr>
        <w:spacing w:line="360" w:lineRule="auto"/>
        <w:rPr>
          <w:rFonts w:ascii="Calibri" w:eastAsia="MS Mincho" w:hAnsi="Calibri" w:cs="Calibri"/>
        </w:rPr>
      </w:pPr>
    </w:p>
    <w:p w14:paraId="72819A5C" w14:textId="0B51D2DC"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Awareness of ﻿sociocultural context is highlighted in research in relation to cultural affirmation, whereby ﻿‘experiences of perceived racism and discrimination’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{"citationItems":[{"id":"ITEM-1","itemData":{"DOI":"10.2105/AJPH.2008.140558","ISBN":"0090-0036","ISSN":"00900036","abstract":"Few HIV prevention interventions have been developed for African American men who have sex with men or who have sex with both men and women. Many interventions neglect the historical, structural or institutional, and sociocultural factors that hinder or support risk reduction in this high-risk group. We examined ways to incorporate these factors into Men of African American Legacy Empowering Self, a culturally congruent HIV intervention targeting African American men who have sex with men and women. We also studied how to apply key elements from successful interventions to future efforts. These elements include having gender specificity, a target population, a theoretical foundation, cultural and historical congruence, skill-building components, and well-defined goals.","author":[{"dropping-particle":"","family":"Williams","given":"John K.","non-dropping-particle":"","parse-names":false,"suffix":""},{"dropping-particle":"","family":"Ramamurthi","given":"Hema C.","non-dropping-particle":"","parse-names":false,"suffix":""},{"dropping-particle":"","family":"Manago","given":"Cleo","non-dropping-particle":"","parse-names":false,"suffix":""},{"dropping-particle":"","family":"Harawa","given":"Nina T.","non-dropping-particle":"","parse-names":false,"suffix":""}],"container-title":"American Journal of Public Health","id":"ITEM-1","issue":"6","issued":{"date-parts":[["2009"]]},"page":"1008-1012","title":"Learning from successful interventions: A culturally congruent HIV risk - Reduction intervention for African American men who have sex with men and women","type":"article-journal","volume":"99"},"locator":"1010","uris":["http://www.mendeley.com/documents/?uuid=f6b40032-24f6-4824-abce-3860a5faa0c9"]}],"mendeley":{"formattedCitation":"(Williams &lt;i&gt;et al.&lt;/i&gt;, 2009, p. 1010)","plainTextFormattedCitation":"(Williams et al., 2009, p. 1010)","previouslyFormattedCitation":"(Williams &lt;i&gt;et al.&lt;/i&gt;, 2009, p. 1010)"},"properties":{"noteIndex":0},"schema":"https://github.com/citation-style-language/schema/raw/master/csl-citation.json"}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(Williams </w:t>
      </w:r>
      <w:r w:rsidR="0080697E" w:rsidRPr="0080697E">
        <w:rPr>
          <w:rFonts w:ascii="Calibri" w:eastAsia="MS Mincho" w:hAnsi="Calibri" w:cs="Calibri"/>
          <w:i/>
          <w:iCs/>
          <w:noProof/>
        </w:rPr>
        <w:t>et al.</w:t>
      </w:r>
      <w:r w:rsidR="0080697E">
        <w:rPr>
          <w:rFonts w:ascii="Calibri" w:eastAsia="MS Mincho" w:hAnsi="Calibri" w:cs="Calibri"/>
          <w:noProof/>
        </w:rPr>
        <w:t>,</w:t>
      </w:r>
      <w:r w:rsidRPr="00055D66">
        <w:rPr>
          <w:rFonts w:ascii="Calibri" w:eastAsia="MS Mincho" w:hAnsi="Calibri" w:cs="Calibri"/>
          <w:noProof/>
        </w:rPr>
        <w:t xml:space="preserve"> 2009, p.1010)</w:t>
      </w:r>
      <w:r w:rsidRPr="00055D66">
        <w:rPr>
          <w:rFonts w:ascii="Calibri" w:eastAsia="MS Mincho" w:hAnsi="Calibri" w:cs="Calibri"/>
        </w:rPr>
        <w:fldChar w:fldCharType="end"/>
      </w:r>
      <w:r w:rsidRPr="00055D66">
        <w:rPr>
          <w:rFonts w:ascii="Calibri" w:eastAsia="MS Mincho" w:hAnsi="Calibri" w:cs="Calibri"/>
        </w:rPr>
        <w:t>, such as being ignored, struggling to find employment and being stopped by the police</w:t>
      </w:r>
      <w:r>
        <w:rPr>
          <w:rFonts w:ascii="Calibri" w:eastAsia="MS Mincho" w:hAnsi="Calibri" w:cs="Calibri"/>
        </w:rPr>
        <w:t>,</w:t>
      </w:r>
      <w:r w:rsidRPr="00055D66">
        <w:rPr>
          <w:rFonts w:ascii="Calibri" w:eastAsia="MS Mincho" w:hAnsi="Calibri" w:cs="Calibri"/>
        </w:rPr>
        <w:t xml:space="preserve"> are central to break down of trust between service-users, community members and service providers.</w:t>
      </w:r>
    </w:p>
    <w:p w14:paraId="710BB5ED" w14:textId="77777777" w:rsidR="0079774D" w:rsidRPr="00055D66" w:rsidRDefault="0079774D" w:rsidP="0079774D">
      <w:pPr>
        <w:spacing w:line="360" w:lineRule="auto"/>
        <w:rPr>
          <w:rFonts w:ascii="Calibri" w:eastAsia="MS Mincho" w:hAnsi="Calibri" w:cs="Calibri"/>
        </w:rPr>
      </w:pPr>
    </w:p>
    <w:p w14:paraId="694F44B3" w14:textId="77777777" w:rsidR="0079774D" w:rsidRPr="00301C85" w:rsidRDefault="0079774D" w:rsidP="0079774D">
      <w:pPr>
        <w:pStyle w:val="ListParagraph"/>
        <w:numPr>
          <w:ilvl w:val="2"/>
          <w:numId w:val="39"/>
        </w:numPr>
        <w:spacing w:line="360" w:lineRule="auto"/>
        <w:rPr>
          <w:rFonts w:ascii="Calibri" w:hAnsi="Calibri" w:cs="Calibri"/>
          <w:i/>
          <w:iCs/>
        </w:rPr>
      </w:pPr>
      <w:r w:rsidRPr="00301C85">
        <w:rPr>
          <w:rFonts w:ascii="Calibri" w:hAnsi="Calibri" w:cs="Calibri"/>
          <w:i/>
          <w:iCs/>
        </w:rPr>
        <w:t xml:space="preserve">Measure relevant processes and practices   </w:t>
      </w:r>
    </w:p>
    <w:p w14:paraId="210B6DC2" w14:textId="7A0F7C9D"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‘Robust standardised measures for </w:t>
      </w:r>
      <w:r w:rsidR="00301C85" w:rsidRPr="00055D66">
        <w:rPr>
          <w:rFonts w:ascii="Calibri" w:eastAsia="MS Mincho" w:hAnsi="Calibri" w:cs="Calibri"/>
        </w:rPr>
        <w:t>behavioural</w:t>
      </w:r>
      <w:r w:rsidRPr="00055D66">
        <w:rPr>
          <w:rFonts w:ascii="Calibri" w:eastAsia="MS Mincho" w:hAnsi="Calibri" w:cs="Calibri"/>
        </w:rPr>
        <w:t xml:space="preserve"> outcomes’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{"citationItems":[{"id":"ITEM-1","itemData":{"DOI":"10.1016/j.jadohealth.2014.08.012","ISBN":"1054-139X","ISSN":"18791972","PMID":"25528978","abstract":"Intimate partner violence (IPV) and sexual violence (SV) are widespread among adolescents and place them on a lifelong trajectory of violence, either as victims or perpetrators. The aim of this review was to identify effective approaches to prevent adolescent IPV and SV and to identify critical knowledge gaps. The interventions reviewed in this article reflect the global focus on interventions addressing violence perpetrated by men against women in the context of heterosexual relationships. Interventions for girls and boys (10-19 years) were identified through electronic searches for peer-reviewed and gray literature such as reports and research briefs. Studies were excluded if they were published before 1990 or did not disaggregate participants and results by age. Programs were classified as \"effective,\" \"emerging,\" \"ineffective,\" or \"unclear\" based on the strength of evidence, generalizability of results to developing country settings, and replication beyond the initial pilot. Programs were considered \"effective\" if they were evaluated with well-designed studies, which controlled for threats to validity through randomization of participants. A review of 142 articles and documents yielded 61 interventions, which aimed to prevent IPV and SV among adolescents. These were categorized as \"parenting\" (n = 8), \"targeted interventions for children and adolescents subjected to maltreatment\" (n = 3), \"school based\" (n = 31; including 10 interventions to prevent sexual assault among university students), \"community based\" (n = 16), and \"economic empowerment\" (n = 2). The rigor of the evaluations varies greatly. A good number have relatively weak research designs, short follow-up periods, and low or unreported retention rates. Overall, there is a lack of robust standardized measures for behavioral outcomes. Three promising approaches emerge. First, school-based dating violence interventions show considerable success. However, they have only been implemented in high-income countries and should be adapted and evaluated in other settings. Second, community-based interventions to form gender equitable attitudes among boys and girls have successfully prevented IPV or SV. Third, evidence suggests that parenting interventions and interventions with children and adolescents subjected to maltreatment hold promise in preventing IPV or SV by addressing child maltreatment, which is a risk factor for later perpetration or experience of IPV or SV. Results suggest that programs…","author":[{"dropping-particle":"","family":"Lundgren","given":"Rebecka","non-dropping-particle":"","parse-names":false,"suffix":""},{"dropping-particle":"","family":"Amin","given":"Avni","non-dropping-particle":"","parse-names":false,"suffix":""}],"container-title":"Journal of Adolescent Health","id":"ITEM-1","issue":"1","issued":{"date-parts":[["2015"]]},"page":"S42-S50","publisher":"Elsevier Inc.","title":"Addressing intimate partner violence and sexual violence among adolescents: Emerging evidence of effectiveness","type":"article-journal","volume":"56"},"locator":"44","uris":["http://www.mendeley.com/documents/?uuid=039bf644-7c03-4e59-9624-6968386c9831"]}],"mendeley":{"formattedCitation":"(Lundgren and Amin, 2015, p. 44)","plainTextFormattedCitation":"(Lundgren and Amin, 2015, p. 44)","previouslyFormattedCitation":"(Lundgren and Amin, 2015, p. 44)"},"properties":{"noteIndex":0},"schema":"https://github.com/citation-style-language/schema/raw/master/csl-citation.json"}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(Lundgren and Amin, 2015, p.44)</w:t>
      </w:r>
      <w:r w:rsidRPr="00055D66">
        <w:rPr>
          <w:rFonts w:ascii="Calibri" w:eastAsia="MS Mincho" w:hAnsi="Calibri" w:cs="Calibri"/>
        </w:rPr>
        <w:fldChar w:fldCharType="end"/>
      </w:r>
      <w:r w:rsidRPr="00055D66">
        <w:rPr>
          <w:rFonts w:ascii="Calibri" w:eastAsia="MS Mincho" w:hAnsi="Calibri" w:cs="Calibri"/>
        </w:rPr>
        <w:t xml:space="preserve"> are often lacking in relation to the effectiveness of community based intervention, Roca proposes that internal and external tracking of outcomes is important.</w:t>
      </w:r>
    </w:p>
    <w:p w14:paraId="4E7E6013" w14:textId="77777777" w:rsidR="0079774D" w:rsidRPr="00055D66" w:rsidRDefault="0079774D" w:rsidP="0079774D">
      <w:pPr>
        <w:spacing w:line="360" w:lineRule="auto"/>
        <w:rPr>
          <w:rFonts w:ascii="Calibri" w:eastAsia="MS Mincho" w:hAnsi="Calibri" w:cs="Calibri"/>
        </w:rPr>
      </w:pPr>
    </w:p>
    <w:p w14:paraId="6138A65F"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Internally, participant outcomes may be tracked through Social Solutions’ ETO software, a customisable data-collection system that allows Roca to track and measure each component of its model. Accurate and detailed recording of assessment data in relation to service-users that is accessible yet secure is an on-going challenge for service providers, particularly where there is high turn-over of employees and insufficiently maintained data systems. Most recently a 2017 SCR about ‘Jack’ ﻿a teenage boy living in the Bradford area, focuses on problematic ICT systems which ﻿made recording information more difficult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{"citationItems":[{"id":"ITEM-1","itemData":{"author":[{"dropping-particle":"","family":"Ashley","given":"S","non-dropping-particle":"","parse-names":false,"suffix":""}],"id":"ITEM-1","issued":{"date-parts":[["2017"]]},"title":"Serious case review overview report: Jack.Bradford Safeguarding Children Board","type":"report"},"uris":["http://www.mendeley.com/documents/?uuid=90e51b94-b0ed-4f9a-b7ec-c4d09abb1620"]}],"mendeley":{"formattedCitation":"(Ashley, 2017)","plainTextFormattedCitation":"(Ashley, 2017)","previouslyFormattedCitation":"(Ashley, 2017)"},"properties":{"noteIndex":0},"schema":"https://github.com/citation-style-language/schema/raw/master/csl-citation.json"}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(Ashley, 2017)</w:t>
      </w:r>
      <w:r w:rsidRPr="00055D66">
        <w:rPr>
          <w:rFonts w:ascii="Calibri" w:eastAsia="MS Mincho" w:hAnsi="Calibri" w:cs="Calibri"/>
        </w:rPr>
        <w:fldChar w:fldCharType="end"/>
      </w:r>
      <w:r w:rsidRPr="00055D66">
        <w:rPr>
          <w:rFonts w:ascii="Calibri" w:eastAsia="MS Mincho" w:hAnsi="Calibri" w:cs="Calibri"/>
        </w:rPr>
        <w:t xml:space="preserve">. </w:t>
      </w:r>
    </w:p>
    <w:p w14:paraId="555372D0" w14:textId="77777777" w:rsidR="0079774D" w:rsidRPr="00055D66" w:rsidRDefault="0079774D" w:rsidP="0079774D">
      <w:pPr>
        <w:spacing w:line="360" w:lineRule="auto"/>
        <w:rPr>
          <w:rFonts w:ascii="Calibri" w:eastAsia="MS Mincho" w:hAnsi="Calibri" w:cs="Calibri"/>
        </w:rPr>
      </w:pPr>
    </w:p>
    <w:p w14:paraId="7D686967" w14:textId="30A09E2C"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﻿Externally, programme and impact evaluation by independent parties is required. Programme evaluations of ‘work works’ interventions are useful insights into identifying effective approaches. However, it is important to hold in mind that evaluations may be carried out with the underlying agenda of justifying funding allocation, so any evaluation must be rigorous and valid in order for the extent of its success to be apparent. The What Works </w:t>
      </w:r>
      <w:r w:rsidR="00A909E0">
        <w:rPr>
          <w:rFonts w:ascii="Calibri" w:eastAsia="MS Mincho" w:hAnsi="Calibri" w:cs="Calibri"/>
        </w:rPr>
        <w:t>C</w:t>
      </w:r>
      <w:r w:rsidRPr="00055D66">
        <w:rPr>
          <w:rFonts w:ascii="Calibri" w:eastAsia="MS Mincho" w:hAnsi="Calibri" w:cs="Calibri"/>
        </w:rPr>
        <w:t xml:space="preserve">entre advises that </w:t>
      </w:r>
      <w:r w:rsidRPr="00055D66">
        <w:rPr>
          <w:rFonts w:ascii="Calibri" w:eastAsia="MS Mincho" w:hAnsi="Calibri" w:cs="Calibri"/>
        </w:rPr>
        <w:lastRenderedPageBreak/>
        <w:t>one of the most common mistakes encountered in research is ‘to go too big, too early’ (</w:t>
      </w:r>
      <w:hyperlink r:id="rId19" w:history="1">
        <w:r w:rsidRPr="00055D66">
          <w:rPr>
            <w:rFonts w:ascii="Calibri" w:eastAsia="MS Mincho" w:hAnsi="Calibri" w:cs="Calibri"/>
            <w:color w:val="0000FF"/>
            <w:u w:val="single"/>
          </w:rPr>
          <w:t>whatworks-csc.org.uk</w:t>
        </w:r>
      </w:hyperlink>
      <w:r w:rsidRPr="00055D66">
        <w:rPr>
          <w:rFonts w:ascii="Calibri" w:eastAsia="MS Mincho" w:hAnsi="Calibri" w:cs="Calibri"/>
        </w:rPr>
        <w:t>, 2019). Interventions and the evaluation of way they are carried out, must be developed and tested and developed simultaneously and initially on a small scale, to ensure funding is not wasted and interventions are delivered effectively in larger studies.</w:t>
      </w:r>
    </w:p>
    <w:p w14:paraId="29A09E70" w14:textId="77777777" w:rsidR="0079774D" w:rsidRPr="00055D66" w:rsidRDefault="0079774D" w:rsidP="0079774D">
      <w:pPr>
        <w:spacing w:line="360" w:lineRule="auto"/>
        <w:rPr>
          <w:rFonts w:ascii="Calibri" w:eastAsia="MS Mincho" w:hAnsi="Calibri" w:cs="Calibri"/>
        </w:rPr>
      </w:pPr>
    </w:p>
    <w:p w14:paraId="11EAF8A5" w14:textId="77777777" w:rsidR="0079774D" w:rsidRPr="00D57746" w:rsidRDefault="0079774D" w:rsidP="0079774D">
      <w:pPr>
        <w:pStyle w:val="ListParagraph"/>
        <w:numPr>
          <w:ilvl w:val="2"/>
          <w:numId w:val="39"/>
        </w:numPr>
        <w:spacing w:line="360" w:lineRule="auto"/>
        <w:rPr>
          <w:rFonts w:ascii="Calibri" w:hAnsi="Calibri" w:cs="Calibri"/>
          <w:i/>
          <w:iCs/>
        </w:rPr>
      </w:pPr>
      <w:r w:rsidRPr="00D57746">
        <w:rPr>
          <w:rFonts w:ascii="Calibri" w:hAnsi="Calibri" w:cs="Calibri"/>
          <w:i/>
          <w:iCs/>
        </w:rPr>
        <w:t>Provide measurement feedback</w:t>
      </w:r>
    </w:p>
    <w:p w14:paraId="7E519021" w14:textId="77777777"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Participants’ progress throughout any process must be transparent to them, and participants should be invited to opportunities for feedback in an ongoing, daily way. ﻿For example, Roca describes an employment programme, whereby each participant is aware of the number of days he has worked so far (toward the goal of completing 60 consecutive days of work), the number of write-ups and the reasons for them, and his performance through the workday, which the crew supervisor will discuss with him after work. </w:t>
      </w:r>
    </w:p>
    <w:p w14:paraId="1A13390D" w14:textId="77777777" w:rsidR="0079774D" w:rsidRPr="00055D66" w:rsidRDefault="0079774D" w:rsidP="0079774D">
      <w:pPr>
        <w:spacing w:line="360" w:lineRule="auto"/>
        <w:rPr>
          <w:rFonts w:ascii="Calibri" w:eastAsia="MS Mincho" w:hAnsi="Calibri" w:cs="Calibri"/>
        </w:rPr>
      </w:pPr>
    </w:p>
    <w:p w14:paraId="6E807353" w14:textId="0396266A" w:rsidR="0079774D" w:rsidRPr="00055D66" w:rsidRDefault="0079774D" w:rsidP="0079774D">
      <w:pPr>
        <w:spacing w:line="360" w:lineRule="auto"/>
        <w:rPr>
          <w:rFonts w:ascii="Calibri" w:eastAsia="MS Mincho" w:hAnsi="Calibri" w:cs="Calibri"/>
        </w:rPr>
      </w:pPr>
      <w:r w:rsidRPr="00055D66">
        <w:rPr>
          <w:rFonts w:ascii="Calibri" w:eastAsia="MS Mincho" w:hAnsi="Calibri" w:cs="Calibri"/>
        </w:rPr>
        <w:t xml:space="preserve">A US study of risk–reduction interventions in HIV prevention amongst African-American men who have sex with men and women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{"citationItems":[{"id":"ITEM-1","itemData":{"DOI":"10.2105/AJPH.2008.140558","ISBN":"0090-0036","ISSN":"00900036","abstract":"Few HIV prevention interventions have been developed for African American men who have sex with men or who have sex with both men and women. Many interventions neglect the historical, structural or institutional, and sociocultural factors that hinder or support risk reduction in this high-risk group. We examined ways to incorporate these factors into Men of African American Legacy Empowering Self, a culturally congruent HIV intervention targeting African American men who have sex with men and women. We also studied how to apply key elements from successful interventions to future efforts. These elements include having gender specificity, a target population, a theoretical foundation, cultural and historical congruence, skill-building components, and well-defined goals.","author":[{"dropping-particle":"","family":"Williams","given":"John K.","non-dropping-particle":"","parse-names":false,"suffix":""},{"dropping-particle":"","family":"Ramamurthi","given":"Hema C.","non-dropping-particle":"","parse-names":false,"suffix":""},{"dropping-particle":"","family":"Manago","given":"Cleo","non-dropping-particle":"","parse-names":false,"suffix":""},{"dropping-particle":"","family":"Harawa","given":"Nina T.","non-dropping-particle":"","parse-names":false,"suffix":""}],"container-title":"American Journal of Public Health","id":"ITEM-1","issue":"6","issued":{"date-parts":[["2009"]]},"page":"1008-1012","title":"Learning from successful interventions: A culturally congruent HIV risk - Reduction intervention for African American men who have sex with men and women","type":"article-journal","volume":"99"},"uris":["http://www.mendeley.com/documents/?uuid=f6b40032-24f6-4824-abce-3860a5faa0c9"]}],"mendeley":{"formattedCitation":"(Williams &lt;i&gt;et al.&lt;/i&gt;, 2009)","plainTextFormattedCitation":"(Williams et al., 2009)","previouslyFormattedCitation":"(Williams &lt;i&gt;et al.&lt;/i&gt;, 2009)"},"properties":{"noteIndex":0},"schema":"https://github.com/citation-style-language/schema/raw/master/csl-citation.json"}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(Williams </w:t>
      </w:r>
      <w:r w:rsidR="0080697E" w:rsidRPr="0080697E">
        <w:rPr>
          <w:rFonts w:ascii="Calibri" w:eastAsia="MS Mincho" w:hAnsi="Calibri" w:cs="Calibri"/>
          <w:i/>
          <w:iCs/>
          <w:noProof/>
        </w:rPr>
        <w:t>et al.,</w:t>
      </w:r>
      <w:r w:rsidRPr="00055D66">
        <w:rPr>
          <w:rFonts w:ascii="Calibri" w:eastAsia="MS Mincho" w:hAnsi="Calibri" w:cs="Calibri"/>
          <w:noProof/>
        </w:rPr>
        <w:t xml:space="preserve"> 2009)</w:t>
      </w:r>
      <w:r w:rsidRPr="00055D66">
        <w:rPr>
          <w:rFonts w:ascii="Calibri" w:eastAsia="MS Mincho" w:hAnsi="Calibri" w:cs="Calibri"/>
        </w:rPr>
        <w:fldChar w:fldCharType="end"/>
      </w:r>
      <w:r w:rsidRPr="00055D66">
        <w:rPr>
          <w:rFonts w:ascii="Calibri" w:eastAsia="MS Mincho" w:hAnsi="Calibri" w:cs="Calibri"/>
        </w:rPr>
        <w:t xml:space="preserve">, highlighted ‘empowerment theory’. This ﻿facilitates personal strategies for risk reduction. The teaching of critical thinking was also identified as important in ﻿influencing ‘intentions or perceived ability to adopt preventive behaviours’ </w:t>
      </w:r>
      <w:r w:rsidRPr="00055D66">
        <w:rPr>
          <w:rFonts w:ascii="Calibri" w:eastAsia="MS Mincho" w:hAnsi="Calibri" w:cs="Calibri"/>
        </w:rPr>
        <w:fldChar w:fldCharType="begin" w:fldLock="1"/>
      </w:r>
      <w:r w:rsidRPr="00055D66">
        <w:rPr>
          <w:rFonts w:ascii="Calibri" w:eastAsia="MS Mincho" w:hAnsi="Calibri" w:cs="Calibri"/>
        </w:rPr>
        <w:instrText>ADDIN CSL_CITATION {"citationItems":[{"id":"ITEM-1","itemData":{"DOI":"10.2105/AJPH.2008.140558","ISBN":"0090-0036","ISSN":"00900036","abstract":"Few HIV prevention interventions have been developed for African American men who have sex with men or who have sex with both men and women. Many interventions neglect the historical, structural or institutional, and sociocultural factors that hinder or support risk reduction in this high-risk group. We examined ways to incorporate these factors into Men of African American Legacy Empowering Self, a culturally congruent HIV intervention targeting African American men who have sex with men and women. We also studied how to apply key elements from successful interventions to future efforts. These elements include having gender specificity, a target population, a theoretical foundation, cultural and historical congruence, skill-building components, and well-defined goals.","author":[{"dropping-particle":"","family":"Williams","given":"John K.","non-dropping-particle":"","parse-names":false,"suffix":""},{"dropping-particle":"","family":"Ramamurthi","given":"Hema C.","non-dropping-particle":"","parse-names":false,"suffix":""},{"dropping-particle":"","family":"Manago","given":"Cleo","non-dropping-particle":"","parse-names":false,"suffix":""},{"dropping-particle":"","family":"Harawa","given":"Nina T.","non-dropping-particle":"","parse-names":false,"suffix":""}],"container-title":"American Journal of Public Health","id":"ITEM-1","issue":"6","issued":{"date-parts":[["2009"]]},"page":"1008-1012","title":"Learning from successful interventions: A culturally congruent HIV risk - Reduction intervention for African American men who have sex with men and women","type":"article-journal","volume":"99"},"locator":"1010","uris":["http://www.mendeley.com/documents/?uuid=f6b40032-24f6-4824-abce-3860a5faa0c9"]}],"mendeley":{"formattedCitation":"(Williams &lt;i&gt;et al.&lt;/i&gt;, 2009, p. 1010)","plainTextFormattedCitation":"(Williams et al., 2009, p. 1010)","previouslyFormattedCitation":"(Williams &lt;i&gt;et al.&lt;/i&gt;, 2009, p. 1010)"},"properties":{"noteIndex":0},"schema":"https://github.com/citation-style-language/schema/raw/master/csl-citation.json"}</w:instrText>
      </w:r>
      <w:r w:rsidRPr="00055D66">
        <w:rPr>
          <w:rFonts w:ascii="Calibri" w:eastAsia="MS Mincho" w:hAnsi="Calibri" w:cs="Calibri"/>
        </w:rPr>
        <w:fldChar w:fldCharType="separate"/>
      </w:r>
      <w:r w:rsidRPr="00055D66">
        <w:rPr>
          <w:rFonts w:ascii="Calibri" w:eastAsia="MS Mincho" w:hAnsi="Calibri" w:cs="Calibri"/>
          <w:noProof/>
        </w:rPr>
        <w:t xml:space="preserve">(Williams </w:t>
      </w:r>
      <w:r w:rsidR="0080697E" w:rsidRPr="0080697E">
        <w:rPr>
          <w:rFonts w:ascii="Calibri" w:eastAsia="MS Mincho" w:hAnsi="Calibri" w:cs="Calibri"/>
          <w:i/>
          <w:iCs/>
          <w:noProof/>
        </w:rPr>
        <w:t>et al.</w:t>
      </w:r>
      <w:r w:rsidR="0080697E">
        <w:rPr>
          <w:rFonts w:ascii="Calibri" w:eastAsia="MS Mincho" w:hAnsi="Calibri" w:cs="Calibri"/>
          <w:noProof/>
        </w:rPr>
        <w:t>,</w:t>
      </w:r>
      <w:r w:rsidRPr="00055D66">
        <w:rPr>
          <w:rFonts w:ascii="Calibri" w:eastAsia="MS Mincho" w:hAnsi="Calibri" w:cs="Calibri"/>
          <w:noProof/>
        </w:rPr>
        <w:t xml:space="preserve"> 2009, p.1010)</w:t>
      </w:r>
      <w:r w:rsidRPr="00055D66">
        <w:rPr>
          <w:rFonts w:ascii="Calibri" w:eastAsia="MS Mincho" w:hAnsi="Calibri" w:cs="Calibri"/>
        </w:rPr>
        <w:fldChar w:fldCharType="end"/>
      </w:r>
      <w:r w:rsidRPr="00055D66">
        <w:rPr>
          <w:rFonts w:ascii="Calibri" w:eastAsia="MS Mincho" w:hAnsi="Calibri" w:cs="Calibri"/>
        </w:rPr>
        <w:t xml:space="preserve">. </w:t>
      </w:r>
    </w:p>
    <w:p w14:paraId="50D51B8E" w14:textId="008CCFEC" w:rsidR="0079774D" w:rsidRDefault="0079774D" w:rsidP="0079774D">
      <w:pPr>
        <w:spacing w:line="360" w:lineRule="auto"/>
        <w:rPr>
          <w:rFonts w:ascii="Calibri" w:eastAsia="MS Mincho" w:hAnsi="Calibri" w:cs="Calibri"/>
        </w:rPr>
      </w:pPr>
    </w:p>
    <w:p w14:paraId="0CAC39F4" w14:textId="7E8284F6" w:rsidR="00301C85" w:rsidRDefault="00301C85">
      <w:pPr>
        <w:rPr>
          <w:rFonts w:ascii="Calibri" w:eastAsia="MS Mincho" w:hAnsi="Calibri" w:cs="Calibri"/>
        </w:rPr>
      </w:pPr>
      <w:r>
        <w:rPr>
          <w:rFonts w:ascii="Calibri" w:eastAsia="MS Mincho" w:hAnsi="Calibri" w:cs="Calibri"/>
        </w:rPr>
        <w:br w:type="page"/>
      </w:r>
    </w:p>
    <w:p w14:paraId="1A8EFFB7" w14:textId="507E6544" w:rsidR="0079774D" w:rsidRPr="00301C85" w:rsidRDefault="00301C85" w:rsidP="00301C85">
      <w:pPr>
        <w:pStyle w:val="ListParagraph"/>
        <w:spacing w:line="360" w:lineRule="auto"/>
        <w:ind w:left="0"/>
        <w:rPr>
          <w:rFonts w:asciiTheme="majorHAnsi" w:eastAsia="MS Mincho" w:hAnsiTheme="majorHAnsi" w:cstheme="majorHAnsi"/>
          <w:b/>
        </w:rPr>
      </w:pPr>
      <w:r>
        <w:rPr>
          <w:rFonts w:asciiTheme="majorHAnsi" w:eastAsia="MS Mincho" w:hAnsiTheme="majorHAnsi" w:cstheme="majorHAnsi"/>
          <w:b/>
        </w:rPr>
        <w:lastRenderedPageBreak/>
        <w:t>5.5</w:t>
      </w:r>
      <w:r w:rsidR="005110AD" w:rsidRPr="00301C85">
        <w:rPr>
          <w:rFonts w:asciiTheme="majorHAnsi" w:eastAsia="MS Mincho" w:hAnsiTheme="majorHAnsi" w:cstheme="majorHAnsi"/>
          <w:b/>
        </w:rPr>
        <w:t xml:space="preserve"> </w:t>
      </w:r>
      <w:r w:rsidR="00654326" w:rsidRPr="00301C85">
        <w:rPr>
          <w:rFonts w:asciiTheme="majorHAnsi" w:eastAsia="MS Mincho" w:hAnsiTheme="majorHAnsi" w:cstheme="majorHAnsi"/>
          <w:b/>
        </w:rPr>
        <w:t xml:space="preserve">Models of intervention 2: </w:t>
      </w:r>
      <w:r w:rsidR="005110AD" w:rsidRPr="00301C85">
        <w:rPr>
          <w:rFonts w:asciiTheme="majorHAnsi" w:eastAsia="MS Mincho" w:hAnsiTheme="majorHAnsi" w:cstheme="majorHAnsi"/>
          <w:b/>
        </w:rPr>
        <w:t xml:space="preserve">The Risk-Needs-Responsivity model </w:t>
      </w:r>
      <w:r w:rsidR="00147261" w:rsidRPr="00301C85">
        <w:rPr>
          <w:rFonts w:asciiTheme="majorHAnsi" w:eastAsia="MS Mincho" w:hAnsiTheme="majorHAnsi" w:cstheme="majorHAnsi"/>
          <w:b/>
        </w:rPr>
        <w:t xml:space="preserve">of offender treatment </w:t>
      </w:r>
    </w:p>
    <w:p w14:paraId="56B08E4C" w14:textId="77777777" w:rsidR="005110AD" w:rsidRPr="00252AFB" w:rsidRDefault="005110AD" w:rsidP="00B362EF">
      <w:pPr>
        <w:spacing w:line="360" w:lineRule="auto"/>
        <w:rPr>
          <w:rFonts w:asciiTheme="majorHAnsi" w:hAnsiTheme="majorHAnsi" w:cstheme="majorHAnsi"/>
        </w:rPr>
      </w:pPr>
    </w:p>
    <w:p w14:paraId="7AF4BCE2" w14:textId="324C4FC1" w:rsidR="0079774D" w:rsidRDefault="005110AD" w:rsidP="00B362EF">
      <w:pPr>
        <w:spacing w:line="360" w:lineRule="auto"/>
        <w:rPr>
          <w:rFonts w:asciiTheme="majorHAnsi" w:hAnsiTheme="majorHAnsi" w:cstheme="majorHAnsi"/>
        </w:rPr>
      </w:pPr>
      <w:r w:rsidRPr="00252AFB">
        <w:rPr>
          <w:rFonts w:asciiTheme="majorHAnsi" w:hAnsiTheme="majorHAnsi" w:cstheme="majorHAnsi"/>
        </w:rPr>
        <w:t>The Risk-Needs-Responsivity (R-N-R) model (Bonta and Andrews, 20</w:t>
      </w:r>
      <w:r w:rsidR="0080697E">
        <w:rPr>
          <w:rFonts w:asciiTheme="majorHAnsi" w:hAnsiTheme="majorHAnsi" w:cstheme="majorHAnsi"/>
        </w:rPr>
        <w:t>0</w:t>
      </w:r>
      <w:r w:rsidRPr="00252AFB">
        <w:rPr>
          <w:rFonts w:asciiTheme="majorHAnsi" w:hAnsiTheme="majorHAnsi" w:cstheme="majorHAnsi"/>
        </w:rPr>
        <w:t>7) has become one of the most widely used approaches to offender treatment in the world (Dyck, Campbell, and Wershler. 2018). The approach is based on three principles: 1) Identify those with the highest risk of reoffending, and match the level of treatment with that likelihood (Risk); 2) Assess criminogenic needs (factors that influence reoffending likelihood)</w:t>
      </w:r>
      <w:r w:rsidR="00B362EF" w:rsidRPr="00252AFB">
        <w:rPr>
          <w:rFonts w:asciiTheme="majorHAnsi" w:hAnsiTheme="majorHAnsi" w:cstheme="majorHAnsi"/>
        </w:rPr>
        <w:t xml:space="preserve"> to be targeted in interventions (Needs); 3) Provide general (</w:t>
      </w:r>
      <w:r w:rsidR="009B34AB">
        <w:rPr>
          <w:rFonts w:asciiTheme="majorHAnsi" w:hAnsiTheme="majorHAnsi" w:cstheme="majorHAnsi"/>
        </w:rPr>
        <w:t xml:space="preserve">generic </w:t>
      </w:r>
      <w:r w:rsidR="00B362EF" w:rsidRPr="00252AFB">
        <w:rPr>
          <w:rFonts w:asciiTheme="majorHAnsi" w:hAnsiTheme="majorHAnsi" w:cstheme="majorHAnsi"/>
        </w:rPr>
        <w:t xml:space="preserve">Cognitive-Behavioural) interventions and specific (individually-tailored) interventions (Responsivity). </w:t>
      </w:r>
      <w:r w:rsidR="00B362EF">
        <w:rPr>
          <w:rFonts w:asciiTheme="majorHAnsi" w:hAnsiTheme="majorHAnsi" w:cstheme="majorHAnsi"/>
        </w:rPr>
        <w:t>Employing the R-N-R model helps to avoid the over-treatment of low-risk offenders, and ensures that style of intervention delivery, and the intervention themselves, are meet the unique needs of the offenders they are intended to support (Ministry of Justice, 2014). Importantly, interventions based on the model are therefore oriented to addressing the needs of</w:t>
      </w:r>
      <w:r w:rsidR="009B34AB">
        <w:rPr>
          <w:rFonts w:asciiTheme="majorHAnsi" w:hAnsiTheme="majorHAnsi" w:cstheme="majorHAnsi"/>
        </w:rPr>
        <w:t xml:space="preserve"> </w:t>
      </w:r>
      <w:r w:rsidR="00AF538F">
        <w:rPr>
          <w:rFonts w:asciiTheme="majorHAnsi" w:hAnsiTheme="majorHAnsi" w:cstheme="majorHAnsi"/>
        </w:rPr>
        <w:t>juvenile</w:t>
      </w:r>
      <w:r w:rsidR="009B34AB">
        <w:rPr>
          <w:rFonts w:asciiTheme="majorHAnsi" w:hAnsiTheme="majorHAnsi" w:cstheme="majorHAnsi"/>
        </w:rPr>
        <w:t xml:space="preserve"> offenders, LGBT+ offenders, offenders with learning difficulties, and offenders with physical and mental health differences (Ministry of Justice, 2014). </w:t>
      </w:r>
    </w:p>
    <w:p w14:paraId="249FFCBB" w14:textId="28AF4E54" w:rsidR="00AB6FA1" w:rsidRDefault="00AB6FA1" w:rsidP="00B362EF">
      <w:pPr>
        <w:spacing w:line="360" w:lineRule="auto"/>
        <w:rPr>
          <w:rFonts w:asciiTheme="majorHAnsi" w:hAnsiTheme="majorHAnsi" w:cstheme="majorHAnsi"/>
        </w:rPr>
      </w:pPr>
    </w:p>
    <w:p w14:paraId="685CAF6D" w14:textId="34836BEA" w:rsidR="00AB6FA1" w:rsidRDefault="00AB6FA1" w:rsidP="00B362EF">
      <w:pPr>
        <w:spacing w:line="360" w:lineRule="auto"/>
        <w:rPr>
          <w:rFonts w:asciiTheme="majorHAnsi" w:hAnsiTheme="majorHAnsi" w:cstheme="majorHAnsi"/>
        </w:rPr>
      </w:pPr>
      <w:r>
        <w:rPr>
          <w:rFonts w:asciiTheme="majorHAnsi" w:hAnsiTheme="majorHAnsi" w:cstheme="majorHAnsi"/>
        </w:rPr>
        <w:t xml:space="preserve">Apart from an individual’s criminal history, seven “dynamic” (variable) criminogenic needs have been identified: </w:t>
      </w:r>
      <w:r w:rsidR="00216CE1">
        <w:rPr>
          <w:rFonts w:asciiTheme="majorHAnsi" w:hAnsiTheme="majorHAnsi" w:cstheme="majorHAnsi"/>
        </w:rPr>
        <w:t>a</w:t>
      </w:r>
      <w:r>
        <w:rPr>
          <w:rFonts w:asciiTheme="majorHAnsi" w:hAnsiTheme="majorHAnsi" w:cstheme="majorHAnsi"/>
        </w:rPr>
        <w:t xml:space="preserve">ntisocial personality pattern; </w:t>
      </w:r>
      <w:r w:rsidR="00216CE1">
        <w:rPr>
          <w:rFonts w:asciiTheme="majorHAnsi" w:hAnsiTheme="majorHAnsi" w:cstheme="majorHAnsi"/>
        </w:rPr>
        <w:t>p</w:t>
      </w:r>
      <w:r>
        <w:rPr>
          <w:rFonts w:asciiTheme="majorHAnsi" w:hAnsiTheme="majorHAnsi" w:cstheme="majorHAnsi"/>
        </w:rPr>
        <w:t xml:space="preserve">ro-criminal attitudes; </w:t>
      </w:r>
      <w:r w:rsidR="00216CE1">
        <w:rPr>
          <w:rFonts w:asciiTheme="majorHAnsi" w:hAnsiTheme="majorHAnsi" w:cstheme="majorHAnsi"/>
        </w:rPr>
        <w:t>s</w:t>
      </w:r>
      <w:r>
        <w:rPr>
          <w:rFonts w:asciiTheme="majorHAnsi" w:hAnsiTheme="majorHAnsi" w:cstheme="majorHAnsi"/>
        </w:rPr>
        <w:t xml:space="preserve">ocial supports for crime (i.e., pro-criminal peers); </w:t>
      </w:r>
      <w:r w:rsidR="00216CE1">
        <w:rPr>
          <w:rFonts w:asciiTheme="majorHAnsi" w:hAnsiTheme="majorHAnsi" w:cstheme="majorHAnsi"/>
        </w:rPr>
        <w:t>su</w:t>
      </w:r>
      <w:r>
        <w:rPr>
          <w:rFonts w:asciiTheme="majorHAnsi" w:hAnsiTheme="majorHAnsi" w:cstheme="majorHAnsi"/>
        </w:rPr>
        <w:t xml:space="preserve">bstance use; </w:t>
      </w:r>
      <w:r w:rsidR="00216CE1">
        <w:rPr>
          <w:rFonts w:asciiTheme="majorHAnsi" w:hAnsiTheme="majorHAnsi" w:cstheme="majorHAnsi"/>
        </w:rPr>
        <w:t>f</w:t>
      </w:r>
      <w:r>
        <w:rPr>
          <w:rFonts w:asciiTheme="majorHAnsi" w:hAnsiTheme="majorHAnsi" w:cstheme="majorHAnsi"/>
        </w:rPr>
        <w:t xml:space="preserve">amily / marital relationships (including inappropriate parental discipline); </w:t>
      </w:r>
      <w:r w:rsidR="00216CE1">
        <w:rPr>
          <w:rFonts w:asciiTheme="majorHAnsi" w:hAnsiTheme="majorHAnsi" w:cstheme="majorHAnsi"/>
        </w:rPr>
        <w:t>s</w:t>
      </w:r>
      <w:r>
        <w:rPr>
          <w:rFonts w:asciiTheme="majorHAnsi" w:hAnsiTheme="majorHAnsi" w:cstheme="majorHAnsi"/>
        </w:rPr>
        <w:t xml:space="preserve">chool / work (poor performance); and </w:t>
      </w:r>
      <w:r w:rsidR="00216CE1">
        <w:rPr>
          <w:rFonts w:asciiTheme="majorHAnsi" w:hAnsiTheme="majorHAnsi" w:cstheme="majorHAnsi"/>
        </w:rPr>
        <w:t xml:space="preserve">recreational activities (lack of involvement in prosocial leisure: Bonta &amp; Andrews, 2017). An assessment of the dynamic criminogenic needs of a given offender can therefore lead to the implementation of specific interventions. For example, offenders presenting with an antisocial personality pattern might be taught emotion-management techniques; those who have pro-criminal attitudes might be encouraged to develop prosocial identities; young people with difficulties at school may be taught study skills; and those who do not partake in prosocial leisure activities may be encouraged to participate in sport, and other recreational hobbies where positive interpersonal </w:t>
      </w:r>
      <w:r w:rsidR="00216CE1">
        <w:rPr>
          <w:rFonts w:asciiTheme="majorHAnsi" w:hAnsiTheme="majorHAnsi" w:cstheme="majorHAnsi"/>
        </w:rPr>
        <w:lastRenderedPageBreak/>
        <w:t xml:space="preserve">relationships can be nurtured. </w:t>
      </w:r>
      <w:r w:rsidR="00AF538F">
        <w:rPr>
          <w:rFonts w:asciiTheme="majorHAnsi" w:hAnsiTheme="majorHAnsi" w:cstheme="majorHAnsi"/>
        </w:rPr>
        <w:t xml:space="preserve">Data from HM Inspectorate of Probation (2021) indicates that almost half of offenders in England and Wales have four or more of the seven criminogenic needs identified above. </w:t>
      </w:r>
    </w:p>
    <w:p w14:paraId="5032CC4D" w14:textId="6FAF9CFF" w:rsidR="009B34AB" w:rsidRDefault="009B34AB" w:rsidP="00B362EF">
      <w:pPr>
        <w:spacing w:line="360" w:lineRule="auto"/>
        <w:rPr>
          <w:rFonts w:asciiTheme="majorHAnsi" w:hAnsiTheme="majorHAnsi" w:cstheme="majorHAnsi"/>
        </w:rPr>
      </w:pPr>
    </w:p>
    <w:p w14:paraId="40DE81B7" w14:textId="30CFC919" w:rsidR="009B34AB" w:rsidRDefault="00B716AF">
      <w:pPr>
        <w:spacing w:line="360" w:lineRule="auto"/>
        <w:rPr>
          <w:rFonts w:asciiTheme="majorHAnsi" w:hAnsiTheme="majorHAnsi" w:cstheme="majorHAnsi"/>
        </w:rPr>
      </w:pPr>
      <w:r>
        <w:rPr>
          <w:rFonts w:asciiTheme="majorHAnsi" w:hAnsiTheme="majorHAnsi" w:cstheme="majorHAnsi"/>
        </w:rPr>
        <w:t>There is extensive evidence that interventions</w:t>
      </w:r>
      <w:r w:rsidR="009B34AB">
        <w:rPr>
          <w:rFonts w:asciiTheme="majorHAnsi" w:hAnsiTheme="majorHAnsi" w:cstheme="majorHAnsi"/>
        </w:rPr>
        <w:t xml:space="preserve"> that are provided in accordance with R-N-R principles – i.e., are oriented to the specific needs of higher risk offenders – can reduce reoffending</w:t>
      </w:r>
      <w:r w:rsidR="00B04DBE">
        <w:rPr>
          <w:rFonts w:asciiTheme="majorHAnsi" w:hAnsiTheme="majorHAnsi" w:cstheme="majorHAnsi"/>
        </w:rPr>
        <w:t>, including among juvenile offenders (see O’Donnell, 2020 for a review)</w:t>
      </w:r>
      <w:r>
        <w:rPr>
          <w:rFonts w:asciiTheme="majorHAnsi" w:hAnsiTheme="majorHAnsi" w:cstheme="majorHAnsi"/>
        </w:rPr>
        <w:t xml:space="preserve">. For example, </w:t>
      </w:r>
      <w:r w:rsidR="009B34AB">
        <w:rPr>
          <w:rFonts w:asciiTheme="majorHAnsi" w:hAnsiTheme="majorHAnsi" w:cstheme="majorHAnsi"/>
        </w:rPr>
        <w:t>by focusing on anger and emotional control, rehearsal of calming “self-talk”, and the restructuring of pro-violence attitudes</w:t>
      </w:r>
      <w:r>
        <w:rPr>
          <w:rFonts w:asciiTheme="majorHAnsi" w:hAnsiTheme="majorHAnsi" w:cstheme="majorHAnsi"/>
        </w:rPr>
        <w:t>, CBT has reduced reoffending by formerly violent offenders, where</w:t>
      </w:r>
      <w:r w:rsidR="00B04DBE">
        <w:rPr>
          <w:rFonts w:asciiTheme="majorHAnsi" w:hAnsiTheme="majorHAnsi" w:cstheme="majorHAnsi"/>
        </w:rPr>
        <w:t xml:space="preserve"> </w:t>
      </w:r>
      <w:r w:rsidR="009B34AB">
        <w:rPr>
          <w:rFonts w:asciiTheme="majorHAnsi" w:hAnsiTheme="majorHAnsi" w:cstheme="majorHAnsi"/>
        </w:rPr>
        <w:t>generic skills and empathy training have not shown the same level of effectiv</w:t>
      </w:r>
      <w:r w:rsidR="008A0AE1">
        <w:rPr>
          <w:rFonts w:asciiTheme="majorHAnsi" w:hAnsiTheme="majorHAnsi" w:cstheme="majorHAnsi"/>
        </w:rPr>
        <w:t>e</w:t>
      </w:r>
      <w:r w:rsidR="009B34AB">
        <w:rPr>
          <w:rFonts w:asciiTheme="majorHAnsi" w:hAnsiTheme="majorHAnsi" w:cstheme="majorHAnsi"/>
        </w:rPr>
        <w:t>ness</w:t>
      </w:r>
      <w:r w:rsidR="008A0AE1">
        <w:rPr>
          <w:rFonts w:asciiTheme="majorHAnsi" w:hAnsiTheme="majorHAnsi" w:cstheme="majorHAnsi"/>
        </w:rPr>
        <w:t xml:space="preserve"> (Ministry of Justice, 2014). </w:t>
      </w:r>
      <w:r w:rsidR="00B04DBE">
        <w:rPr>
          <w:rFonts w:asciiTheme="majorHAnsi" w:hAnsiTheme="majorHAnsi" w:cstheme="majorHAnsi"/>
        </w:rPr>
        <w:t xml:space="preserve">The </w:t>
      </w:r>
      <w:r w:rsidR="009B13AA">
        <w:rPr>
          <w:rFonts w:asciiTheme="majorHAnsi" w:hAnsiTheme="majorHAnsi" w:cstheme="majorHAnsi"/>
        </w:rPr>
        <w:t xml:space="preserve">Responsivity principle therefore seems to be key – the intervention must meet the needs and be matched to the skills and experiences of the individual to be effective (O’Donnell, 2020). </w:t>
      </w:r>
    </w:p>
    <w:p w14:paraId="037C5BC1" w14:textId="3DD13CE2" w:rsidR="00A25DC5" w:rsidRPr="00252AFB" w:rsidRDefault="00A25DC5" w:rsidP="00252AFB">
      <w:pPr>
        <w:spacing w:line="360" w:lineRule="auto"/>
        <w:rPr>
          <w:rFonts w:asciiTheme="majorHAnsi" w:hAnsiTheme="majorHAnsi" w:cstheme="majorHAnsi"/>
        </w:rPr>
      </w:pPr>
      <w:r>
        <w:rPr>
          <w:rFonts w:asciiTheme="majorHAnsi" w:hAnsiTheme="majorHAnsi" w:cstheme="majorHAnsi"/>
        </w:rPr>
        <w:t xml:space="preserve"> </w:t>
      </w:r>
    </w:p>
    <w:p w14:paraId="06BBDC65" w14:textId="490B65C3" w:rsidR="002944DC" w:rsidRDefault="002944DC" w:rsidP="00B10EAE">
      <w:pPr>
        <w:spacing w:line="360" w:lineRule="auto"/>
        <w:rPr>
          <w:rFonts w:asciiTheme="majorHAnsi" w:hAnsiTheme="majorHAnsi" w:cstheme="majorHAnsi"/>
        </w:rPr>
      </w:pPr>
    </w:p>
    <w:p w14:paraId="181708B8" w14:textId="001A5729" w:rsidR="009F44E7" w:rsidRDefault="00B10EAE" w:rsidP="009D2643">
      <w:pPr>
        <w:spacing w:line="360" w:lineRule="auto"/>
        <w:rPr>
          <w:rFonts w:asciiTheme="majorHAnsi" w:hAnsiTheme="majorHAnsi" w:cstheme="majorHAnsi"/>
        </w:rPr>
      </w:pPr>
      <w:r>
        <w:rPr>
          <w:rFonts w:asciiTheme="majorHAnsi" w:hAnsiTheme="majorHAnsi" w:cstheme="majorHAnsi"/>
        </w:rPr>
        <w:t xml:space="preserve">This literature review </w:t>
      </w:r>
      <w:r w:rsidR="00A909E0">
        <w:rPr>
          <w:rFonts w:asciiTheme="majorHAnsi" w:hAnsiTheme="majorHAnsi" w:cstheme="majorHAnsi"/>
        </w:rPr>
        <w:t xml:space="preserve">draws </w:t>
      </w:r>
      <w:r>
        <w:rPr>
          <w:rFonts w:asciiTheme="majorHAnsi" w:hAnsiTheme="majorHAnsi" w:cstheme="majorHAnsi"/>
        </w:rPr>
        <w:t xml:space="preserve">together learning from a range of published sources. Whilst there are limitations in that many interventions or projects are not fully evaluated thus leading to a lack of established literature regarding specific interventions, the review </w:t>
      </w:r>
      <w:r w:rsidR="00A909E0">
        <w:rPr>
          <w:rFonts w:asciiTheme="majorHAnsi" w:hAnsiTheme="majorHAnsi" w:cstheme="majorHAnsi"/>
        </w:rPr>
        <w:t xml:space="preserve">forms </w:t>
      </w:r>
      <w:r>
        <w:rPr>
          <w:rFonts w:asciiTheme="majorHAnsi" w:hAnsiTheme="majorHAnsi" w:cstheme="majorHAnsi"/>
        </w:rPr>
        <w:t xml:space="preserve">the basis for the subsequent phases of the project, with similar organising themes arising in the empirical data collection phases too. </w:t>
      </w:r>
      <w:r w:rsidR="00131488">
        <w:rPr>
          <w:rFonts w:asciiTheme="majorHAnsi" w:hAnsiTheme="majorHAnsi" w:cstheme="majorHAnsi"/>
        </w:rPr>
        <w:br w:type="page"/>
      </w:r>
    </w:p>
    <w:p w14:paraId="2AA52F1E" w14:textId="378CA99B" w:rsidR="00EE05AA" w:rsidRPr="00D00DD0" w:rsidRDefault="00EE05AA" w:rsidP="002B29F6">
      <w:pPr>
        <w:pStyle w:val="ListParagraph"/>
        <w:numPr>
          <w:ilvl w:val="0"/>
          <w:numId w:val="23"/>
        </w:numPr>
        <w:spacing w:line="360" w:lineRule="auto"/>
        <w:rPr>
          <w:rFonts w:asciiTheme="majorHAnsi" w:hAnsiTheme="majorHAnsi"/>
          <w:b/>
          <w:bCs/>
          <w:u w:val="single"/>
        </w:rPr>
      </w:pPr>
      <w:bookmarkStart w:id="3" w:name="workless"/>
      <w:bookmarkStart w:id="4" w:name="tabquals"/>
      <w:bookmarkEnd w:id="3"/>
      <w:bookmarkEnd w:id="4"/>
      <w:r w:rsidRPr="00D00DD0">
        <w:rPr>
          <w:rFonts w:asciiTheme="majorHAnsi" w:hAnsiTheme="majorHAnsi"/>
          <w:b/>
          <w:bCs/>
          <w:u w:val="single"/>
        </w:rPr>
        <w:lastRenderedPageBreak/>
        <w:t>Local young men ‘known’ to child and family services within BHCC</w:t>
      </w:r>
    </w:p>
    <w:p w14:paraId="15CAED17" w14:textId="77777777" w:rsidR="007813F2" w:rsidRPr="00EE05AA" w:rsidRDefault="007813F2" w:rsidP="000414B2">
      <w:pPr>
        <w:pStyle w:val="ListParagraph"/>
        <w:spacing w:line="360" w:lineRule="auto"/>
        <w:ind w:left="360"/>
        <w:rPr>
          <w:rFonts w:asciiTheme="majorHAnsi" w:hAnsiTheme="majorHAnsi"/>
          <w:b/>
          <w:bCs/>
        </w:rPr>
      </w:pPr>
    </w:p>
    <w:p w14:paraId="6843036B" w14:textId="1753C9CB" w:rsidR="00EE05AA" w:rsidRPr="00EE05AA" w:rsidRDefault="00EE05AA" w:rsidP="088F2921">
      <w:pPr>
        <w:spacing w:line="360" w:lineRule="auto"/>
        <w:rPr>
          <w:rFonts w:asciiTheme="majorHAnsi" w:hAnsiTheme="majorHAnsi"/>
        </w:rPr>
      </w:pPr>
      <w:r w:rsidRPr="088F2921">
        <w:rPr>
          <w:rFonts w:asciiTheme="majorHAnsi" w:hAnsiTheme="majorHAnsi"/>
        </w:rPr>
        <w:t xml:space="preserve">As part of this project, we initially received and reviewed a report extracted from the council’s databases whereby records for all young men known to BHCC </w:t>
      </w:r>
      <w:r w:rsidR="006B1E56">
        <w:rPr>
          <w:rFonts w:ascii="Helvetica Neue" w:eastAsiaTheme="minorEastAsia" w:hAnsi="Helvetica Neue" w:cs="Helvetica Neue"/>
          <w:color w:val="000000"/>
          <w:sz w:val="22"/>
          <w:szCs w:val="22"/>
          <w:lang w:eastAsia="en-US"/>
        </w:rPr>
        <w:t>Families, Children &amp; Learning</w:t>
      </w:r>
      <w:r w:rsidR="006B1E56" w:rsidRPr="088F2921" w:rsidDel="006B1E56">
        <w:rPr>
          <w:rFonts w:asciiTheme="majorHAnsi" w:hAnsiTheme="majorHAnsi"/>
        </w:rPr>
        <w:t xml:space="preserve"> </w:t>
      </w:r>
      <w:r w:rsidRPr="008A05CC">
        <w:rPr>
          <w:rFonts w:asciiTheme="majorHAnsi" w:hAnsiTheme="majorHAnsi"/>
        </w:rPr>
        <w:t>Directorate were</w:t>
      </w:r>
      <w:r w:rsidRPr="088F2921">
        <w:rPr>
          <w:rFonts w:asciiTheme="majorHAnsi" w:hAnsiTheme="majorHAnsi"/>
        </w:rPr>
        <w:t xml:space="preserve"> subjected to analysis. The first iteration of the spreadsheet sent in 2018 contained many gaps in information and this rendered further analysis challenging. There had been shifts in how various issues such as missing episodes were recorded and other gaps and errors in the data that reduced the meaningfulness of this as a dataset in its own right for this project. It was used, however, in order to identify a short list for the ‘deep dive’ phase of the project (see below) and subsequently for the list of boys and young men invited to be interviewed.</w:t>
      </w:r>
    </w:p>
    <w:p w14:paraId="6DE6FCA2" w14:textId="77777777" w:rsidR="00EE05AA" w:rsidRPr="00EE05AA" w:rsidRDefault="00EE05AA" w:rsidP="003A79C9">
      <w:pPr>
        <w:spacing w:line="360" w:lineRule="auto"/>
        <w:rPr>
          <w:rFonts w:asciiTheme="majorHAnsi" w:hAnsiTheme="majorHAnsi"/>
        </w:rPr>
      </w:pPr>
    </w:p>
    <w:p w14:paraId="5176BEBF" w14:textId="6D08A91F" w:rsidR="00EE05AA" w:rsidRPr="00EE05AA" w:rsidRDefault="00EE05AA" w:rsidP="088F2921">
      <w:pPr>
        <w:spacing w:line="360" w:lineRule="auto"/>
        <w:rPr>
          <w:rFonts w:asciiTheme="majorHAnsi" w:hAnsiTheme="majorHAnsi"/>
        </w:rPr>
      </w:pPr>
      <w:r w:rsidRPr="088F2921">
        <w:rPr>
          <w:rFonts w:asciiTheme="majorHAnsi" w:hAnsiTheme="majorHAnsi"/>
        </w:rPr>
        <w:t xml:space="preserve">Striking to the research team reviewing the initial data download was the absence of some seemingly key data such as information on ethnicity, religion, disability and …… indeed, initially </w:t>
      </w:r>
      <w:r w:rsidR="001805F2" w:rsidRPr="088F2921">
        <w:rPr>
          <w:rFonts w:asciiTheme="majorHAnsi" w:hAnsiTheme="majorHAnsi"/>
        </w:rPr>
        <w:t>the</w:t>
      </w:r>
      <w:r w:rsidRPr="088F2921">
        <w:rPr>
          <w:rFonts w:asciiTheme="majorHAnsi" w:hAnsiTheme="majorHAnsi"/>
        </w:rPr>
        <w:t xml:space="preserve"> data contained information about girls and young women too and although </w:t>
      </w:r>
      <w:r w:rsidR="001805F2" w:rsidRPr="088F2921">
        <w:rPr>
          <w:rFonts w:asciiTheme="majorHAnsi" w:hAnsiTheme="majorHAnsi"/>
        </w:rPr>
        <w:t>this</w:t>
      </w:r>
      <w:r w:rsidRPr="088F2921">
        <w:rPr>
          <w:rFonts w:asciiTheme="majorHAnsi" w:hAnsiTheme="majorHAnsi"/>
        </w:rPr>
        <w:t xml:space="preserve"> was removed, it was notable that there seemed to be more ‘flags’ associated with young women than young men for gangs, at risk of various forms of exploitation, etc. </w:t>
      </w:r>
      <w:r w:rsidR="1D42B4E1" w:rsidRPr="088F2921">
        <w:rPr>
          <w:rFonts w:asciiTheme="majorHAnsi" w:hAnsiTheme="majorHAnsi"/>
        </w:rPr>
        <w:t xml:space="preserve">Whilst we appreciate the ambiguous definition of ‘gangs’ and the possibility, as Thompson (2019) notes, for the term to encompass peer-peer and also adult-child </w:t>
      </w:r>
      <w:r w:rsidR="63758783" w:rsidRPr="088F2921">
        <w:rPr>
          <w:rFonts w:asciiTheme="majorHAnsi" w:hAnsiTheme="majorHAnsi"/>
        </w:rPr>
        <w:t xml:space="preserve">exploitative relationships, the absence of such ‘flags’ for young men was </w:t>
      </w:r>
      <w:r w:rsidR="54DDEF8C" w:rsidRPr="088F2921">
        <w:rPr>
          <w:rFonts w:asciiTheme="majorHAnsi" w:hAnsiTheme="majorHAnsi"/>
        </w:rPr>
        <w:t>interesting</w:t>
      </w:r>
      <w:r w:rsidR="63758783" w:rsidRPr="088F2921">
        <w:rPr>
          <w:rFonts w:asciiTheme="majorHAnsi" w:hAnsiTheme="majorHAnsi"/>
        </w:rPr>
        <w:t xml:space="preserve"> and </w:t>
      </w:r>
      <w:r w:rsidR="5A5DB1A7" w:rsidRPr="088F2921">
        <w:rPr>
          <w:rFonts w:asciiTheme="majorHAnsi" w:hAnsiTheme="majorHAnsi"/>
        </w:rPr>
        <w:t xml:space="preserve">perhaps worthy of further </w:t>
      </w:r>
      <w:r w:rsidR="004545FF" w:rsidRPr="088F2921">
        <w:rPr>
          <w:rFonts w:asciiTheme="majorHAnsi" w:hAnsiTheme="majorHAnsi"/>
        </w:rPr>
        <w:t>consideration</w:t>
      </w:r>
      <w:r w:rsidR="5A5DB1A7" w:rsidRPr="088F2921">
        <w:rPr>
          <w:rFonts w:asciiTheme="majorHAnsi" w:hAnsiTheme="majorHAnsi"/>
        </w:rPr>
        <w:t xml:space="preserve">. </w:t>
      </w:r>
    </w:p>
    <w:p w14:paraId="538094CE" w14:textId="77777777" w:rsidR="00EE05AA" w:rsidRPr="00EE05AA" w:rsidRDefault="00EE05AA" w:rsidP="003A79C9">
      <w:pPr>
        <w:spacing w:line="360" w:lineRule="auto"/>
        <w:rPr>
          <w:rFonts w:asciiTheme="majorHAnsi" w:hAnsiTheme="majorHAnsi"/>
        </w:rPr>
      </w:pPr>
    </w:p>
    <w:p w14:paraId="06D98080" w14:textId="5A9BF927" w:rsidR="00EE05AA" w:rsidRPr="00EE05AA" w:rsidRDefault="00EE05AA" w:rsidP="088F2921">
      <w:pPr>
        <w:spacing w:line="360" w:lineRule="auto"/>
        <w:rPr>
          <w:rFonts w:asciiTheme="majorHAnsi" w:hAnsiTheme="majorHAnsi"/>
        </w:rPr>
      </w:pPr>
      <w:r w:rsidRPr="088F2921">
        <w:rPr>
          <w:rFonts w:asciiTheme="majorHAnsi" w:hAnsiTheme="majorHAnsi"/>
        </w:rPr>
        <w:t>Subsequently, we obtained an updated download of the same data and the number of g</w:t>
      </w:r>
      <w:r w:rsidR="58A78DAF" w:rsidRPr="088F2921">
        <w:rPr>
          <w:rFonts w:asciiTheme="majorHAnsi" w:hAnsiTheme="majorHAnsi"/>
        </w:rPr>
        <w:t>ap</w:t>
      </w:r>
      <w:r w:rsidRPr="088F2921">
        <w:rPr>
          <w:rFonts w:asciiTheme="majorHAnsi" w:hAnsiTheme="majorHAnsi"/>
        </w:rPr>
        <w:t xml:space="preserve">s seemed to be a little less – perhaps because of improved recording practices or systems. However, there were still significant gaps and apparent errors – especially in respect of radicalisation and other flagged areas/issues. This stood out as a concern due to the fact that we were aware that at least two of the young men on the list would have been involved in such activities, with one sadly having been killed whilst </w:t>
      </w:r>
      <w:r w:rsidRPr="00114D69">
        <w:rPr>
          <w:rFonts w:asciiTheme="majorHAnsi" w:hAnsiTheme="majorHAnsi"/>
        </w:rPr>
        <w:t xml:space="preserve">in Syria. </w:t>
      </w:r>
      <w:r w:rsidR="52DC047D" w:rsidRPr="00114D69">
        <w:rPr>
          <w:rFonts w:asciiTheme="majorHAnsi" w:hAnsiTheme="majorHAnsi"/>
        </w:rPr>
        <w:t>Members of the rese</w:t>
      </w:r>
      <w:r w:rsidR="0ADE6892" w:rsidRPr="00114D69">
        <w:rPr>
          <w:rFonts w:asciiTheme="majorHAnsi" w:hAnsiTheme="majorHAnsi"/>
        </w:rPr>
        <w:t>ar</w:t>
      </w:r>
      <w:r w:rsidR="52DC047D" w:rsidRPr="00114D69">
        <w:rPr>
          <w:rFonts w:asciiTheme="majorHAnsi" w:hAnsiTheme="majorHAnsi"/>
        </w:rPr>
        <w:t xml:space="preserve">ch team </w:t>
      </w:r>
      <w:r w:rsidR="52DC047D" w:rsidRPr="00114D69">
        <w:rPr>
          <w:rFonts w:asciiTheme="majorHAnsi" w:hAnsiTheme="majorHAnsi"/>
        </w:rPr>
        <w:lastRenderedPageBreak/>
        <w:t>reviewing this data wondered whether p</w:t>
      </w:r>
      <w:r w:rsidRPr="00114D69">
        <w:rPr>
          <w:rFonts w:asciiTheme="majorHAnsi" w:hAnsiTheme="majorHAnsi"/>
        </w:rPr>
        <w:t>erhaps, for practitioners there is a disconnect</w:t>
      </w:r>
      <w:r w:rsidRPr="088F2921">
        <w:rPr>
          <w:rFonts w:asciiTheme="majorHAnsi" w:hAnsiTheme="majorHAnsi"/>
        </w:rPr>
        <w:t xml:space="preserve"> between the perceived bureaucratic form</w:t>
      </w:r>
      <w:r w:rsidR="02B31AC8" w:rsidRPr="088F2921">
        <w:rPr>
          <w:rFonts w:asciiTheme="majorHAnsi" w:hAnsiTheme="majorHAnsi"/>
        </w:rPr>
        <w:t>-</w:t>
      </w:r>
      <w:r w:rsidRPr="088F2921">
        <w:rPr>
          <w:rFonts w:asciiTheme="majorHAnsi" w:hAnsiTheme="majorHAnsi"/>
        </w:rPr>
        <w:t xml:space="preserve">filling needed and the reasons for collecting the data. The system at the time did not require fields to be completed before moving to later parts of the recording system, and we understand that it has been common practice in busy practice contexts to copy across information relating to one child to others in the household too. </w:t>
      </w:r>
      <w:r w:rsidR="37334A04" w:rsidRPr="088F2921">
        <w:rPr>
          <w:rFonts w:asciiTheme="majorHAnsi" w:hAnsiTheme="majorHAnsi"/>
        </w:rPr>
        <w:t xml:space="preserve">This was not an expected nor anticipated outcome or focus of this project, but given these significant </w:t>
      </w:r>
      <w:r w:rsidR="7EDF91BE" w:rsidRPr="088F2921">
        <w:rPr>
          <w:rFonts w:asciiTheme="majorHAnsi" w:hAnsiTheme="majorHAnsi"/>
        </w:rPr>
        <w:t>observations</w:t>
      </w:r>
      <w:r w:rsidR="37334A04" w:rsidRPr="088F2921">
        <w:rPr>
          <w:rFonts w:asciiTheme="majorHAnsi" w:hAnsiTheme="majorHAnsi"/>
        </w:rPr>
        <w:t>, we ret</w:t>
      </w:r>
      <w:r w:rsidR="48D8C7C9" w:rsidRPr="088F2921">
        <w:rPr>
          <w:rFonts w:asciiTheme="majorHAnsi" w:hAnsiTheme="majorHAnsi"/>
        </w:rPr>
        <w:t xml:space="preserve">urn to this issue in the concluding sections of this report. </w:t>
      </w:r>
    </w:p>
    <w:p w14:paraId="612363EC" w14:textId="77777777" w:rsidR="00EE05AA" w:rsidRPr="00EE05AA" w:rsidRDefault="00EE05AA" w:rsidP="003A79C9">
      <w:pPr>
        <w:spacing w:line="360" w:lineRule="auto"/>
        <w:rPr>
          <w:rFonts w:asciiTheme="majorHAnsi" w:hAnsiTheme="majorHAnsi"/>
        </w:rPr>
      </w:pPr>
    </w:p>
    <w:p w14:paraId="689ECD51" w14:textId="1BFFB0D4" w:rsidR="00EE05AA" w:rsidRPr="00EE05AA" w:rsidRDefault="00EE05AA" w:rsidP="003A79C9">
      <w:pPr>
        <w:spacing w:line="360" w:lineRule="auto"/>
        <w:rPr>
          <w:rFonts w:asciiTheme="majorHAnsi" w:hAnsiTheme="majorHAnsi"/>
        </w:rPr>
      </w:pPr>
      <w:r w:rsidRPr="00EE05AA">
        <w:rPr>
          <w:rFonts w:asciiTheme="majorHAnsi" w:hAnsiTheme="majorHAnsi"/>
        </w:rPr>
        <w:t xml:space="preserve">From the spreadsheet summarising data held regarding 1010 local young men, the following tables highlight some of the key characteristics of the young men in a descriptive manner. </w:t>
      </w:r>
    </w:p>
    <w:p w14:paraId="2F379AC2" w14:textId="7B3A65C1" w:rsidR="00EE05AA" w:rsidRPr="00EE05AA" w:rsidRDefault="00EE05AA" w:rsidP="088F2921">
      <w:pPr>
        <w:spacing w:line="360" w:lineRule="auto"/>
        <w:rPr>
          <w:rFonts w:asciiTheme="majorHAnsi" w:hAnsiTheme="majorHAnsi"/>
        </w:rPr>
      </w:pPr>
      <w:r w:rsidRPr="088F2921">
        <w:rPr>
          <w:rFonts w:asciiTheme="majorHAnsi" w:hAnsiTheme="majorHAnsi"/>
        </w:rPr>
        <w:t>Very few clear correlations exist, especially for data where there are gaps and/or small numbers involved, hence the focus here upon descriptive statistics. The only real clusters of correlations were around the existence of flags for abuse (all types) and also parental alcohol or drug use and domestic violence. This supports concerns within practice literature regarding what has becom</w:t>
      </w:r>
      <w:r w:rsidR="1507B741" w:rsidRPr="088F2921">
        <w:rPr>
          <w:rFonts w:asciiTheme="majorHAnsi" w:hAnsiTheme="majorHAnsi"/>
        </w:rPr>
        <w:t>e</w:t>
      </w:r>
      <w:r w:rsidRPr="088F2921">
        <w:rPr>
          <w:rFonts w:asciiTheme="majorHAnsi" w:hAnsiTheme="majorHAnsi"/>
        </w:rPr>
        <w:t xml:space="preserve"> known as the ‘toxic trio’. 94 young men were flagged for parental alcohol abuse concerns with 155, and significant overlap here, flagged for parental or carer domestic violence and 154 in total flagged for child drug misuse. Parental mental health concerns were flagged for 223 young men, whilst 206 had flags for the young men’s own mental health. </w:t>
      </w:r>
    </w:p>
    <w:p w14:paraId="7E30AB92" w14:textId="2C3301AB" w:rsidR="000414B2" w:rsidRDefault="000414B2" w:rsidP="00EE05AA">
      <w:pPr>
        <w:rPr>
          <w:rFonts w:asciiTheme="majorHAnsi" w:hAnsiTheme="majorHAnsi"/>
          <w:b/>
          <w:bCs/>
        </w:rPr>
      </w:pPr>
    </w:p>
    <w:p w14:paraId="3BD3B9E3" w14:textId="448F1F38" w:rsidR="000414B2" w:rsidRDefault="000414B2" w:rsidP="00EE05AA">
      <w:pPr>
        <w:rPr>
          <w:rFonts w:asciiTheme="majorHAnsi" w:hAnsiTheme="majorHAnsi"/>
          <w:b/>
          <w:bCs/>
        </w:rPr>
      </w:pPr>
    </w:p>
    <w:p w14:paraId="41AD7472" w14:textId="77777777" w:rsidR="000414B2" w:rsidRDefault="000414B2" w:rsidP="00EE05AA">
      <w:pPr>
        <w:rPr>
          <w:rFonts w:asciiTheme="majorHAnsi" w:hAnsiTheme="majorHAnsi"/>
          <w:b/>
          <w:bCs/>
        </w:rPr>
      </w:pPr>
    </w:p>
    <w:p w14:paraId="29B89D83" w14:textId="77777777" w:rsidR="00301C85" w:rsidRDefault="00301C85" w:rsidP="00EE05AA">
      <w:pPr>
        <w:rPr>
          <w:rFonts w:asciiTheme="majorHAnsi" w:hAnsiTheme="majorHAnsi"/>
          <w:b/>
          <w:bCs/>
        </w:rPr>
      </w:pPr>
    </w:p>
    <w:p w14:paraId="76703F81" w14:textId="77777777" w:rsidR="00301C85" w:rsidRDefault="00301C85" w:rsidP="00EE05AA">
      <w:pPr>
        <w:rPr>
          <w:rFonts w:asciiTheme="majorHAnsi" w:hAnsiTheme="majorHAnsi"/>
          <w:b/>
          <w:bCs/>
        </w:rPr>
      </w:pPr>
    </w:p>
    <w:p w14:paraId="01D6108D" w14:textId="77777777" w:rsidR="00301C85" w:rsidRDefault="00301C85" w:rsidP="00EE05AA">
      <w:pPr>
        <w:rPr>
          <w:rFonts w:asciiTheme="majorHAnsi" w:hAnsiTheme="majorHAnsi"/>
          <w:b/>
          <w:bCs/>
        </w:rPr>
      </w:pPr>
    </w:p>
    <w:p w14:paraId="67BFD6C0" w14:textId="77777777" w:rsidR="00301C85" w:rsidRDefault="00301C85" w:rsidP="00EE05AA">
      <w:pPr>
        <w:rPr>
          <w:rFonts w:asciiTheme="majorHAnsi" w:hAnsiTheme="majorHAnsi"/>
          <w:b/>
          <w:bCs/>
        </w:rPr>
      </w:pPr>
    </w:p>
    <w:p w14:paraId="6B2AF0FA" w14:textId="77777777" w:rsidR="00301C85" w:rsidRDefault="00301C85" w:rsidP="00EE05AA">
      <w:pPr>
        <w:rPr>
          <w:rFonts w:asciiTheme="majorHAnsi" w:hAnsiTheme="majorHAnsi"/>
          <w:b/>
          <w:bCs/>
        </w:rPr>
      </w:pPr>
    </w:p>
    <w:p w14:paraId="5FEB1A68" w14:textId="77777777" w:rsidR="00301C85" w:rsidRDefault="00301C85" w:rsidP="00EE05AA">
      <w:pPr>
        <w:rPr>
          <w:rFonts w:asciiTheme="majorHAnsi" w:hAnsiTheme="majorHAnsi"/>
          <w:b/>
          <w:bCs/>
        </w:rPr>
      </w:pPr>
    </w:p>
    <w:p w14:paraId="0C8DF0DC" w14:textId="77777777" w:rsidR="00301C85" w:rsidRDefault="00301C85" w:rsidP="00EE05AA">
      <w:pPr>
        <w:rPr>
          <w:rFonts w:asciiTheme="majorHAnsi" w:hAnsiTheme="majorHAnsi"/>
          <w:b/>
          <w:bCs/>
        </w:rPr>
      </w:pPr>
    </w:p>
    <w:p w14:paraId="4951C0D6" w14:textId="77777777" w:rsidR="00301C85" w:rsidRDefault="00301C85" w:rsidP="00EE05AA">
      <w:pPr>
        <w:rPr>
          <w:rFonts w:asciiTheme="majorHAnsi" w:hAnsiTheme="majorHAnsi"/>
          <w:b/>
          <w:bCs/>
        </w:rPr>
      </w:pPr>
    </w:p>
    <w:p w14:paraId="05E1160A" w14:textId="77777777" w:rsidR="00301C85" w:rsidRDefault="00301C85" w:rsidP="00EE05AA">
      <w:pPr>
        <w:rPr>
          <w:rFonts w:asciiTheme="majorHAnsi" w:hAnsiTheme="majorHAnsi"/>
          <w:b/>
          <w:bCs/>
        </w:rPr>
      </w:pPr>
    </w:p>
    <w:p w14:paraId="254CAD1E" w14:textId="77777777" w:rsidR="00301C85" w:rsidRDefault="00301C85" w:rsidP="00EE05AA">
      <w:pPr>
        <w:rPr>
          <w:rFonts w:asciiTheme="majorHAnsi" w:hAnsiTheme="majorHAnsi"/>
          <w:b/>
          <w:bCs/>
        </w:rPr>
      </w:pPr>
    </w:p>
    <w:p w14:paraId="06E03DAF" w14:textId="044D51ED" w:rsidR="00EE05AA" w:rsidRPr="00EE05AA" w:rsidRDefault="00EE05AA" w:rsidP="00EE05AA">
      <w:pPr>
        <w:rPr>
          <w:rFonts w:asciiTheme="majorHAnsi" w:hAnsiTheme="majorHAnsi"/>
          <w:b/>
          <w:bCs/>
        </w:rPr>
      </w:pPr>
      <w:r w:rsidRPr="00EE05AA">
        <w:rPr>
          <w:rFonts w:asciiTheme="majorHAnsi" w:hAnsiTheme="majorHAnsi"/>
          <w:b/>
          <w:bCs/>
        </w:rPr>
        <w:lastRenderedPageBreak/>
        <w:t xml:space="preserve">Age and proportion of the population in each age range ‘known’ for males 11-19 </w:t>
      </w:r>
    </w:p>
    <w:tbl>
      <w:tblPr>
        <w:tblW w:w="11781" w:type="dxa"/>
        <w:tblLook w:val="04A0" w:firstRow="1" w:lastRow="0" w:firstColumn="1" w:lastColumn="0" w:noHBand="0" w:noVBand="1"/>
      </w:tblPr>
      <w:tblGrid>
        <w:gridCol w:w="10326"/>
        <w:gridCol w:w="1455"/>
      </w:tblGrid>
      <w:tr w:rsidR="00EE05AA" w:rsidRPr="00EE05AA" w14:paraId="3B0DCEC1" w14:textId="77777777" w:rsidTr="009F44E7">
        <w:trPr>
          <w:trHeight w:val="260"/>
        </w:trPr>
        <w:tc>
          <w:tcPr>
            <w:tcW w:w="10326" w:type="dxa"/>
            <w:tcBorders>
              <w:top w:val="nil"/>
              <w:left w:val="nil"/>
              <w:bottom w:val="nil"/>
              <w:right w:val="nil"/>
            </w:tcBorders>
            <w:shd w:val="clear" w:color="auto" w:fill="auto"/>
            <w:noWrap/>
            <w:vAlign w:val="bottom"/>
          </w:tcPr>
          <w:p w14:paraId="63AB03EA" w14:textId="77777777" w:rsidR="00EE05AA" w:rsidRPr="00EE05AA" w:rsidRDefault="00EE05AA" w:rsidP="009F44E7">
            <w:pPr>
              <w:jc w:val="right"/>
              <w:rPr>
                <w:rFonts w:asciiTheme="majorHAnsi" w:hAnsiTheme="majorHAnsi"/>
              </w:rPr>
            </w:pPr>
          </w:p>
          <w:tbl>
            <w:tblPr>
              <w:tblStyle w:val="TableGrid"/>
              <w:tblW w:w="9953" w:type="dxa"/>
              <w:tblLook w:val="04A0" w:firstRow="1" w:lastRow="0" w:firstColumn="1" w:lastColumn="0" w:noHBand="0" w:noVBand="1"/>
            </w:tblPr>
            <w:tblGrid>
              <w:gridCol w:w="1306"/>
              <w:gridCol w:w="850"/>
              <w:gridCol w:w="1560"/>
              <w:gridCol w:w="1417"/>
              <w:gridCol w:w="1701"/>
              <w:gridCol w:w="1418"/>
              <w:gridCol w:w="1701"/>
            </w:tblGrid>
            <w:tr w:rsidR="00EE05AA" w:rsidRPr="00EE05AA" w14:paraId="2CF25F87" w14:textId="77777777" w:rsidTr="009F44E7">
              <w:tc>
                <w:tcPr>
                  <w:tcW w:w="1306" w:type="dxa"/>
                  <w:shd w:val="clear" w:color="auto" w:fill="DBE5F1" w:themeFill="accent1" w:themeFillTint="33"/>
                </w:tcPr>
                <w:p w14:paraId="32C221B1"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Age on date of data download</w:t>
                  </w:r>
                </w:p>
              </w:tc>
              <w:tc>
                <w:tcPr>
                  <w:tcW w:w="850" w:type="dxa"/>
                  <w:shd w:val="clear" w:color="auto" w:fill="DBE5F1" w:themeFill="accent1" w:themeFillTint="33"/>
                </w:tcPr>
                <w:p w14:paraId="5C935C8A"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Count</w:t>
                  </w:r>
                </w:p>
              </w:tc>
              <w:tc>
                <w:tcPr>
                  <w:tcW w:w="1560" w:type="dxa"/>
                  <w:shd w:val="clear" w:color="auto" w:fill="FBD4B4" w:themeFill="accent6" w:themeFillTint="66"/>
                </w:tcPr>
                <w:p w14:paraId="1C5200C9"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Age range for comparison from census data</w:t>
                  </w:r>
                </w:p>
              </w:tc>
              <w:tc>
                <w:tcPr>
                  <w:tcW w:w="1417" w:type="dxa"/>
                  <w:shd w:val="clear" w:color="auto" w:fill="FDE9D9" w:themeFill="accent6" w:themeFillTint="33"/>
                </w:tcPr>
                <w:p w14:paraId="10F4F304"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 xml:space="preserve">Count in population </w:t>
                  </w:r>
                </w:p>
              </w:tc>
              <w:tc>
                <w:tcPr>
                  <w:tcW w:w="1701" w:type="dxa"/>
                  <w:shd w:val="clear" w:color="auto" w:fill="FDE9D9" w:themeFill="accent6" w:themeFillTint="33"/>
                </w:tcPr>
                <w:p w14:paraId="201BABAF"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 xml:space="preserve">Proportion of total population in age range  </w:t>
                  </w:r>
                </w:p>
              </w:tc>
              <w:tc>
                <w:tcPr>
                  <w:tcW w:w="1418" w:type="dxa"/>
                  <w:shd w:val="clear" w:color="auto" w:fill="DBE5F1" w:themeFill="accent1" w:themeFillTint="33"/>
                </w:tcPr>
                <w:p w14:paraId="60961A23"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Count for ‘known young men/boys</w:t>
                  </w:r>
                </w:p>
              </w:tc>
              <w:tc>
                <w:tcPr>
                  <w:tcW w:w="1701" w:type="dxa"/>
                  <w:shd w:val="clear" w:color="auto" w:fill="DBE5F1" w:themeFill="accent1" w:themeFillTint="33"/>
                </w:tcPr>
                <w:p w14:paraId="79758814"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 xml:space="preserve">Proportion of known young men compared with wider population </w:t>
                  </w:r>
                </w:p>
              </w:tc>
            </w:tr>
            <w:tr w:rsidR="00EE05AA" w:rsidRPr="00EE05AA" w14:paraId="75BC749D" w14:textId="77777777" w:rsidTr="009F44E7">
              <w:tc>
                <w:tcPr>
                  <w:tcW w:w="1306" w:type="dxa"/>
                  <w:shd w:val="clear" w:color="auto" w:fill="DBE5F1" w:themeFill="accent1" w:themeFillTint="33"/>
                </w:tcPr>
                <w:p w14:paraId="6947860C"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11</w:t>
                  </w:r>
                </w:p>
              </w:tc>
              <w:tc>
                <w:tcPr>
                  <w:tcW w:w="850" w:type="dxa"/>
                  <w:shd w:val="clear" w:color="auto" w:fill="DBE5F1" w:themeFill="accent1" w:themeFillTint="33"/>
                </w:tcPr>
                <w:p w14:paraId="77EE698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95</w:t>
                  </w:r>
                </w:p>
              </w:tc>
              <w:tc>
                <w:tcPr>
                  <w:tcW w:w="1560" w:type="dxa"/>
                  <w:shd w:val="clear" w:color="auto" w:fill="FBD4B4" w:themeFill="accent6" w:themeFillTint="66"/>
                </w:tcPr>
                <w:p w14:paraId="1054355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10-14</w:t>
                  </w:r>
                </w:p>
              </w:tc>
              <w:tc>
                <w:tcPr>
                  <w:tcW w:w="1417" w:type="dxa"/>
                  <w:shd w:val="clear" w:color="auto" w:fill="FDE9D9" w:themeFill="accent6" w:themeFillTint="33"/>
                </w:tcPr>
                <w:p w14:paraId="098F32D6"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13,412</w:t>
                  </w:r>
                </w:p>
              </w:tc>
              <w:tc>
                <w:tcPr>
                  <w:tcW w:w="1701" w:type="dxa"/>
                  <w:shd w:val="clear" w:color="auto" w:fill="FDE9D9" w:themeFill="accent6" w:themeFillTint="33"/>
                </w:tcPr>
                <w:p w14:paraId="559DE24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4.9%</w:t>
                  </w:r>
                </w:p>
              </w:tc>
              <w:tc>
                <w:tcPr>
                  <w:tcW w:w="1418" w:type="dxa"/>
                  <w:shd w:val="clear" w:color="auto" w:fill="DBE5F1" w:themeFill="accent1" w:themeFillTint="33"/>
                </w:tcPr>
                <w:p w14:paraId="24FDBF64"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416</w:t>
                  </w:r>
                </w:p>
              </w:tc>
              <w:tc>
                <w:tcPr>
                  <w:tcW w:w="1701" w:type="dxa"/>
                  <w:shd w:val="clear" w:color="auto" w:fill="DBE5F1" w:themeFill="accent1" w:themeFillTint="33"/>
                </w:tcPr>
                <w:p w14:paraId="35A428C2"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3.2%</w:t>
                  </w:r>
                </w:p>
              </w:tc>
            </w:tr>
            <w:tr w:rsidR="00EE05AA" w:rsidRPr="00EE05AA" w14:paraId="1FBC099B" w14:textId="77777777" w:rsidTr="009F44E7">
              <w:tc>
                <w:tcPr>
                  <w:tcW w:w="1306" w:type="dxa"/>
                  <w:shd w:val="clear" w:color="auto" w:fill="DBE5F1" w:themeFill="accent1" w:themeFillTint="33"/>
                </w:tcPr>
                <w:p w14:paraId="59D29894"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12</w:t>
                  </w:r>
                </w:p>
              </w:tc>
              <w:tc>
                <w:tcPr>
                  <w:tcW w:w="850" w:type="dxa"/>
                  <w:shd w:val="clear" w:color="auto" w:fill="DBE5F1" w:themeFill="accent1" w:themeFillTint="33"/>
                </w:tcPr>
                <w:p w14:paraId="7F34552E"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111</w:t>
                  </w:r>
                </w:p>
              </w:tc>
              <w:tc>
                <w:tcPr>
                  <w:tcW w:w="1560" w:type="dxa"/>
                  <w:shd w:val="clear" w:color="auto" w:fill="FBD4B4" w:themeFill="accent6" w:themeFillTint="66"/>
                </w:tcPr>
                <w:p w14:paraId="15B4C9BD" w14:textId="77777777" w:rsidR="00EE05AA" w:rsidRPr="00EE05AA" w:rsidRDefault="00EE05AA" w:rsidP="009F44E7">
                  <w:pPr>
                    <w:jc w:val="right"/>
                    <w:rPr>
                      <w:rFonts w:asciiTheme="majorHAnsi" w:hAnsiTheme="majorHAnsi" w:cs="Arial"/>
                      <w:color w:val="000000"/>
                      <w:sz w:val="22"/>
                      <w:szCs w:val="22"/>
                    </w:rPr>
                  </w:pPr>
                </w:p>
              </w:tc>
              <w:tc>
                <w:tcPr>
                  <w:tcW w:w="1417" w:type="dxa"/>
                  <w:shd w:val="clear" w:color="auto" w:fill="FDE9D9" w:themeFill="accent6" w:themeFillTint="33"/>
                </w:tcPr>
                <w:p w14:paraId="53AC0D3C"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FDE9D9" w:themeFill="accent6" w:themeFillTint="33"/>
                </w:tcPr>
                <w:p w14:paraId="0A848BC5" w14:textId="77777777" w:rsidR="00EE05AA" w:rsidRPr="00EE05AA" w:rsidRDefault="00EE05AA" w:rsidP="009F44E7">
                  <w:pPr>
                    <w:jc w:val="right"/>
                    <w:rPr>
                      <w:rFonts w:asciiTheme="majorHAnsi" w:hAnsiTheme="majorHAnsi" w:cs="Arial"/>
                      <w:color w:val="000000"/>
                      <w:sz w:val="22"/>
                      <w:szCs w:val="22"/>
                    </w:rPr>
                  </w:pPr>
                </w:p>
              </w:tc>
              <w:tc>
                <w:tcPr>
                  <w:tcW w:w="1418" w:type="dxa"/>
                  <w:shd w:val="clear" w:color="auto" w:fill="DBE5F1" w:themeFill="accent1" w:themeFillTint="33"/>
                </w:tcPr>
                <w:p w14:paraId="19F2B74C"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DBE5F1" w:themeFill="accent1" w:themeFillTint="33"/>
                </w:tcPr>
                <w:p w14:paraId="0F6E90F7" w14:textId="77777777" w:rsidR="00EE05AA" w:rsidRPr="00EE05AA" w:rsidRDefault="00EE05AA" w:rsidP="009F44E7">
                  <w:pPr>
                    <w:jc w:val="right"/>
                    <w:rPr>
                      <w:rFonts w:asciiTheme="majorHAnsi" w:hAnsiTheme="majorHAnsi" w:cs="Arial"/>
                      <w:color w:val="000000"/>
                      <w:sz w:val="22"/>
                      <w:szCs w:val="22"/>
                    </w:rPr>
                  </w:pPr>
                </w:p>
              </w:tc>
            </w:tr>
            <w:tr w:rsidR="00EE05AA" w:rsidRPr="00EE05AA" w14:paraId="5DF69211" w14:textId="77777777" w:rsidTr="009F44E7">
              <w:tc>
                <w:tcPr>
                  <w:tcW w:w="1306" w:type="dxa"/>
                  <w:shd w:val="clear" w:color="auto" w:fill="DBE5F1" w:themeFill="accent1" w:themeFillTint="33"/>
                </w:tcPr>
                <w:p w14:paraId="0BC949CA"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13</w:t>
                  </w:r>
                </w:p>
              </w:tc>
              <w:tc>
                <w:tcPr>
                  <w:tcW w:w="850" w:type="dxa"/>
                  <w:shd w:val="clear" w:color="auto" w:fill="DBE5F1" w:themeFill="accent1" w:themeFillTint="33"/>
                </w:tcPr>
                <w:p w14:paraId="442092F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111</w:t>
                  </w:r>
                </w:p>
              </w:tc>
              <w:tc>
                <w:tcPr>
                  <w:tcW w:w="1560" w:type="dxa"/>
                  <w:shd w:val="clear" w:color="auto" w:fill="FBD4B4" w:themeFill="accent6" w:themeFillTint="66"/>
                </w:tcPr>
                <w:p w14:paraId="30B3CE20" w14:textId="77777777" w:rsidR="00EE05AA" w:rsidRPr="00EE05AA" w:rsidRDefault="00EE05AA" w:rsidP="009F44E7">
                  <w:pPr>
                    <w:jc w:val="right"/>
                    <w:rPr>
                      <w:rFonts w:asciiTheme="majorHAnsi" w:hAnsiTheme="majorHAnsi" w:cs="Arial"/>
                      <w:color w:val="000000"/>
                      <w:sz w:val="22"/>
                      <w:szCs w:val="22"/>
                    </w:rPr>
                  </w:pPr>
                </w:p>
              </w:tc>
              <w:tc>
                <w:tcPr>
                  <w:tcW w:w="1417" w:type="dxa"/>
                  <w:shd w:val="clear" w:color="auto" w:fill="FDE9D9" w:themeFill="accent6" w:themeFillTint="33"/>
                </w:tcPr>
                <w:p w14:paraId="7CF76FC6"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FDE9D9" w:themeFill="accent6" w:themeFillTint="33"/>
                </w:tcPr>
                <w:p w14:paraId="3B87EA14" w14:textId="77777777" w:rsidR="00EE05AA" w:rsidRPr="00EE05AA" w:rsidRDefault="00EE05AA" w:rsidP="009F44E7">
                  <w:pPr>
                    <w:jc w:val="right"/>
                    <w:rPr>
                      <w:rFonts w:asciiTheme="majorHAnsi" w:hAnsiTheme="majorHAnsi" w:cs="Arial"/>
                      <w:color w:val="000000"/>
                      <w:sz w:val="22"/>
                      <w:szCs w:val="22"/>
                    </w:rPr>
                  </w:pPr>
                </w:p>
              </w:tc>
              <w:tc>
                <w:tcPr>
                  <w:tcW w:w="1418" w:type="dxa"/>
                  <w:shd w:val="clear" w:color="auto" w:fill="DBE5F1" w:themeFill="accent1" w:themeFillTint="33"/>
                </w:tcPr>
                <w:p w14:paraId="682BD183"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DBE5F1" w:themeFill="accent1" w:themeFillTint="33"/>
                </w:tcPr>
                <w:p w14:paraId="74117D08" w14:textId="77777777" w:rsidR="00EE05AA" w:rsidRPr="00EE05AA" w:rsidRDefault="00EE05AA" w:rsidP="009F44E7">
                  <w:pPr>
                    <w:jc w:val="right"/>
                    <w:rPr>
                      <w:rFonts w:asciiTheme="majorHAnsi" w:hAnsiTheme="majorHAnsi" w:cs="Arial"/>
                      <w:color w:val="000000"/>
                      <w:sz w:val="22"/>
                      <w:szCs w:val="22"/>
                    </w:rPr>
                  </w:pPr>
                </w:p>
              </w:tc>
            </w:tr>
            <w:tr w:rsidR="00EE05AA" w:rsidRPr="00EE05AA" w14:paraId="54A6CD6A" w14:textId="77777777" w:rsidTr="009F44E7">
              <w:tc>
                <w:tcPr>
                  <w:tcW w:w="1306" w:type="dxa"/>
                  <w:shd w:val="clear" w:color="auto" w:fill="DBE5F1" w:themeFill="accent1" w:themeFillTint="33"/>
                </w:tcPr>
                <w:p w14:paraId="574E813F"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14</w:t>
                  </w:r>
                </w:p>
              </w:tc>
              <w:tc>
                <w:tcPr>
                  <w:tcW w:w="850" w:type="dxa"/>
                  <w:shd w:val="clear" w:color="auto" w:fill="DBE5F1" w:themeFill="accent1" w:themeFillTint="33"/>
                </w:tcPr>
                <w:p w14:paraId="79C13D60"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99</w:t>
                  </w:r>
                </w:p>
              </w:tc>
              <w:tc>
                <w:tcPr>
                  <w:tcW w:w="1560" w:type="dxa"/>
                  <w:shd w:val="clear" w:color="auto" w:fill="FBD4B4" w:themeFill="accent6" w:themeFillTint="66"/>
                </w:tcPr>
                <w:p w14:paraId="055C96DF" w14:textId="77777777" w:rsidR="00EE05AA" w:rsidRPr="00EE05AA" w:rsidRDefault="00EE05AA" w:rsidP="009F44E7">
                  <w:pPr>
                    <w:jc w:val="right"/>
                    <w:rPr>
                      <w:rFonts w:asciiTheme="majorHAnsi" w:hAnsiTheme="majorHAnsi" w:cs="Arial"/>
                      <w:color w:val="000000"/>
                      <w:sz w:val="22"/>
                      <w:szCs w:val="22"/>
                    </w:rPr>
                  </w:pPr>
                </w:p>
              </w:tc>
              <w:tc>
                <w:tcPr>
                  <w:tcW w:w="1417" w:type="dxa"/>
                  <w:shd w:val="clear" w:color="auto" w:fill="FDE9D9" w:themeFill="accent6" w:themeFillTint="33"/>
                </w:tcPr>
                <w:p w14:paraId="4C149A64"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FDE9D9" w:themeFill="accent6" w:themeFillTint="33"/>
                </w:tcPr>
                <w:p w14:paraId="4D73BCB4" w14:textId="77777777" w:rsidR="00EE05AA" w:rsidRPr="00EE05AA" w:rsidRDefault="00EE05AA" w:rsidP="009F44E7">
                  <w:pPr>
                    <w:jc w:val="right"/>
                    <w:rPr>
                      <w:rFonts w:asciiTheme="majorHAnsi" w:hAnsiTheme="majorHAnsi" w:cs="Arial"/>
                      <w:color w:val="000000"/>
                      <w:sz w:val="22"/>
                      <w:szCs w:val="22"/>
                    </w:rPr>
                  </w:pPr>
                </w:p>
              </w:tc>
              <w:tc>
                <w:tcPr>
                  <w:tcW w:w="1418" w:type="dxa"/>
                  <w:shd w:val="clear" w:color="auto" w:fill="DBE5F1" w:themeFill="accent1" w:themeFillTint="33"/>
                </w:tcPr>
                <w:p w14:paraId="6C1B1F14"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DBE5F1" w:themeFill="accent1" w:themeFillTint="33"/>
                </w:tcPr>
                <w:p w14:paraId="67842C5D" w14:textId="77777777" w:rsidR="00EE05AA" w:rsidRPr="00EE05AA" w:rsidRDefault="00EE05AA" w:rsidP="009F44E7">
                  <w:pPr>
                    <w:jc w:val="right"/>
                    <w:rPr>
                      <w:rFonts w:asciiTheme="majorHAnsi" w:hAnsiTheme="majorHAnsi" w:cs="Arial"/>
                      <w:color w:val="000000"/>
                      <w:sz w:val="22"/>
                      <w:szCs w:val="22"/>
                    </w:rPr>
                  </w:pPr>
                </w:p>
              </w:tc>
            </w:tr>
            <w:tr w:rsidR="00EE05AA" w:rsidRPr="00EE05AA" w14:paraId="0CB1F435" w14:textId="77777777" w:rsidTr="009F44E7">
              <w:tc>
                <w:tcPr>
                  <w:tcW w:w="1306" w:type="dxa"/>
                  <w:shd w:val="clear" w:color="auto" w:fill="DBE5F1" w:themeFill="accent1" w:themeFillTint="33"/>
                </w:tcPr>
                <w:p w14:paraId="1E234F59"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15</w:t>
                  </w:r>
                </w:p>
              </w:tc>
              <w:tc>
                <w:tcPr>
                  <w:tcW w:w="850" w:type="dxa"/>
                  <w:shd w:val="clear" w:color="auto" w:fill="DBE5F1" w:themeFill="accent1" w:themeFillTint="33"/>
                </w:tcPr>
                <w:p w14:paraId="4BA7DC2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129</w:t>
                  </w:r>
                </w:p>
              </w:tc>
              <w:tc>
                <w:tcPr>
                  <w:tcW w:w="1560" w:type="dxa"/>
                  <w:shd w:val="clear" w:color="auto" w:fill="FBD4B4" w:themeFill="accent6" w:themeFillTint="66"/>
                </w:tcPr>
                <w:p w14:paraId="01B4ACD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15</w:t>
                  </w:r>
                </w:p>
              </w:tc>
              <w:tc>
                <w:tcPr>
                  <w:tcW w:w="1417" w:type="dxa"/>
                  <w:shd w:val="clear" w:color="auto" w:fill="FDE9D9" w:themeFill="accent6" w:themeFillTint="33"/>
                </w:tcPr>
                <w:p w14:paraId="0B5684B4"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2,627</w:t>
                  </w:r>
                </w:p>
              </w:tc>
              <w:tc>
                <w:tcPr>
                  <w:tcW w:w="1701" w:type="dxa"/>
                  <w:shd w:val="clear" w:color="auto" w:fill="FDE9D9" w:themeFill="accent6" w:themeFillTint="33"/>
                </w:tcPr>
                <w:p w14:paraId="112D986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w:t>
                  </w:r>
                </w:p>
              </w:tc>
              <w:tc>
                <w:tcPr>
                  <w:tcW w:w="1418" w:type="dxa"/>
                  <w:shd w:val="clear" w:color="auto" w:fill="DBE5F1" w:themeFill="accent1" w:themeFillTint="33"/>
                </w:tcPr>
                <w:p w14:paraId="1D3C7BEE"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129</w:t>
                  </w:r>
                </w:p>
              </w:tc>
              <w:tc>
                <w:tcPr>
                  <w:tcW w:w="1701" w:type="dxa"/>
                  <w:shd w:val="clear" w:color="auto" w:fill="DBE5F1" w:themeFill="accent1" w:themeFillTint="33"/>
                </w:tcPr>
                <w:p w14:paraId="346B1FD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4.9%</w:t>
                  </w:r>
                </w:p>
              </w:tc>
            </w:tr>
            <w:tr w:rsidR="00EE05AA" w:rsidRPr="00EE05AA" w14:paraId="235CE839" w14:textId="77777777" w:rsidTr="009F44E7">
              <w:tc>
                <w:tcPr>
                  <w:tcW w:w="1306" w:type="dxa"/>
                  <w:shd w:val="clear" w:color="auto" w:fill="DBE5F1" w:themeFill="accent1" w:themeFillTint="33"/>
                </w:tcPr>
                <w:p w14:paraId="21F256B5"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16</w:t>
                  </w:r>
                </w:p>
              </w:tc>
              <w:tc>
                <w:tcPr>
                  <w:tcW w:w="850" w:type="dxa"/>
                  <w:shd w:val="clear" w:color="auto" w:fill="DBE5F1" w:themeFill="accent1" w:themeFillTint="33"/>
                </w:tcPr>
                <w:p w14:paraId="68F5177C"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190</w:t>
                  </w:r>
                </w:p>
              </w:tc>
              <w:tc>
                <w:tcPr>
                  <w:tcW w:w="1560" w:type="dxa"/>
                  <w:shd w:val="clear" w:color="auto" w:fill="FBD4B4" w:themeFill="accent6" w:themeFillTint="66"/>
                </w:tcPr>
                <w:p w14:paraId="1D92DB4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16-17</w:t>
                  </w:r>
                </w:p>
              </w:tc>
              <w:tc>
                <w:tcPr>
                  <w:tcW w:w="1417" w:type="dxa"/>
                  <w:shd w:val="clear" w:color="auto" w:fill="FDE9D9" w:themeFill="accent6" w:themeFillTint="33"/>
                </w:tcPr>
                <w:p w14:paraId="25F42D0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5,602</w:t>
                  </w:r>
                </w:p>
              </w:tc>
              <w:tc>
                <w:tcPr>
                  <w:tcW w:w="1701" w:type="dxa"/>
                  <w:shd w:val="clear" w:color="auto" w:fill="FDE9D9" w:themeFill="accent6" w:themeFillTint="33"/>
                </w:tcPr>
                <w:p w14:paraId="237062C0"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2</w:t>
                  </w:r>
                </w:p>
              </w:tc>
              <w:tc>
                <w:tcPr>
                  <w:tcW w:w="1418" w:type="dxa"/>
                  <w:shd w:val="clear" w:color="auto" w:fill="DBE5F1" w:themeFill="accent1" w:themeFillTint="33"/>
                </w:tcPr>
                <w:p w14:paraId="2989273C"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328</w:t>
                  </w:r>
                </w:p>
              </w:tc>
              <w:tc>
                <w:tcPr>
                  <w:tcW w:w="1701" w:type="dxa"/>
                  <w:shd w:val="clear" w:color="auto" w:fill="DBE5F1" w:themeFill="accent1" w:themeFillTint="33"/>
                </w:tcPr>
                <w:p w14:paraId="0DB2E737"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5.9%</w:t>
                  </w:r>
                </w:p>
              </w:tc>
            </w:tr>
            <w:tr w:rsidR="00EE05AA" w:rsidRPr="00EE05AA" w14:paraId="461A1044" w14:textId="77777777" w:rsidTr="009F44E7">
              <w:tc>
                <w:tcPr>
                  <w:tcW w:w="1306" w:type="dxa"/>
                  <w:shd w:val="clear" w:color="auto" w:fill="DBE5F1" w:themeFill="accent1" w:themeFillTint="33"/>
                </w:tcPr>
                <w:p w14:paraId="3E4591DF"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17</w:t>
                  </w:r>
                </w:p>
              </w:tc>
              <w:tc>
                <w:tcPr>
                  <w:tcW w:w="850" w:type="dxa"/>
                  <w:shd w:val="clear" w:color="auto" w:fill="DBE5F1" w:themeFill="accent1" w:themeFillTint="33"/>
                </w:tcPr>
                <w:p w14:paraId="0DF9F693"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138</w:t>
                  </w:r>
                </w:p>
              </w:tc>
              <w:tc>
                <w:tcPr>
                  <w:tcW w:w="1560" w:type="dxa"/>
                  <w:shd w:val="clear" w:color="auto" w:fill="FBD4B4" w:themeFill="accent6" w:themeFillTint="66"/>
                </w:tcPr>
                <w:p w14:paraId="497521B8" w14:textId="77777777" w:rsidR="00EE05AA" w:rsidRPr="00EE05AA" w:rsidRDefault="00EE05AA" w:rsidP="009F44E7">
                  <w:pPr>
                    <w:jc w:val="right"/>
                    <w:rPr>
                      <w:rFonts w:asciiTheme="majorHAnsi" w:hAnsiTheme="majorHAnsi" w:cs="Arial"/>
                      <w:color w:val="000000"/>
                      <w:sz w:val="22"/>
                      <w:szCs w:val="22"/>
                    </w:rPr>
                  </w:pPr>
                </w:p>
              </w:tc>
              <w:tc>
                <w:tcPr>
                  <w:tcW w:w="1417" w:type="dxa"/>
                  <w:shd w:val="clear" w:color="auto" w:fill="FDE9D9" w:themeFill="accent6" w:themeFillTint="33"/>
                </w:tcPr>
                <w:p w14:paraId="2D9B7227"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FDE9D9" w:themeFill="accent6" w:themeFillTint="33"/>
                </w:tcPr>
                <w:p w14:paraId="3F7701A2" w14:textId="77777777" w:rsidR="00EE05AA" w:rsidRPr="00EE05AA" w:rsidRDefault="00EE05AA" w:rsidP="009F44E7">
                  <w:pPr>
                    <w:jc w:val="right"/>
                    <w:rPr>
                      <w:rFonts w:asciiTheme="majorHAnsi" w:hAnsiTheme="majorHAnsi" w:cs="Arial"/>
                      <w:color w:val="000000"/>
                      <w:sz w:val="22"/>
                      <w:szCs w:val="22"/>
                    </w:rPr>
                  </w:pPr>
                </w:p>
              </w:tc>
              <w:tc>
                <w:tcPr>
                  <w:tcW w:w="1418" w:type="dxa"/>
                  <w:shd w:val="clear" w:color="auto" w:fill="DBE5F1" w:themeFill="accent1" w:themeFillTint="33"/>
                </w:tcPr>
                <w:p w14:paraId="538677EC"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DBE5F1" w:themeFill="accent1" w:themeFillTint="33"/>
                </w:tcPr>
                <w:p w14:paraId="68B36AEE" w14:textId="77777777" w:rsidR="00EE05AA" w:rsidRPr="00EE05AA" w:rsidRDefault="00EE05AA" w:rsidP="009F44E7">
                  <w:pPr>
                    <w:jc w:val="right"/>
                    <w:rPr>
                      <w:rFonts w:asciiTheme="majorHAnsi" w:hAnsiTheme="majorHAnsi" w:cs="Arial"/>
                      <w:color w:val="000000"/>
                      <w:sz w:val="22"/>
                      <w:szCs w:val="22"/>
                    </w:rPr>
                  </w:pPr>
                </w:p>
              </w:tc>
            </w:tr>
            <w:tr w:rsidR="00EE05AA" w:rsidRPr="00EE05AA" w14:paraId="24D505AB" w14:textId="77777777" w:rsidTr="009F44E7">
              <w:tc>
                <w:tcPr>
                  <w:tcW w:w="1306" w:type="dxa"/>
                  <w:shd w:val="clear" w:color="auto" w:fill="DBE5F1" w:themeFill="accent1" w:themeFillTint="33"/>
                </w:tcPr>
                <w:p w14:paraId="70EED871"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18</w:t>
                  </w:r>
                </w:p>
              </w:tc>
              <w:tc>
                <w:tcPr>
                  <w:tcW w:w="850" w:type="dxa"/>
                  <w:shd w:val="clear" w:color="auto" w:fill="DBE5F1" w:themeFill="accent1" w:themeFillTint="33"/>
                </w:tcPr>
                <w:p w14:paraId="15F25BC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137</w:t>
                  </w:r>
                </w:p>
              </w:tc>
              <w:tc>
                <w:tcPr>
                  <w:tcW w:w="1560" w:type="dxa"/>
                  <w:shd w:val="clear" w:color="auto" w:fill="FBD4B4" w:themeFill="accent6" w:themeFillTint="66"/>
                </w:tcPr>
                <w:p w14:paraId="0DB82E3A"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18-19</w:t>
                  </w:r>
                </w:p>
              </w:tc>
              <w:tc>
                <w:tcPr>
                  <w:tcW w:w="1417" w:type="dxa"/>
                  <w:shd w:val="clear" w:color="auto" w:fill="FDE9D9" w:themeFill="accent6" w:themeFillTint="33"/>
                </w:tcPr>
                <w:p w14:paraId="6DD21260"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9,810</w:t>
                  </w:r>
                </w:p>
              </w:tc>
              <w:tc>
                <w:tcPr>
                  <w:tcW w:w="1701" w:type="dxa"/>
                  <w:shd w:val="clear" w:color="auto" w:fill="FDE9D9" w:themeFill="accent6" w:themeFillTint="33"/>
                </w:tcPr>
                <w:p w14:paraId="2F17ECA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3.6</w:t>
                  </w:r>
                </w:p>
              </w:tc>
              <w:tc>
                <w:tcPr>
                  <w:tcW w:w="1418" w:type="dxa"/>
                  <w:shd w:val="clear" w:color="auto" w:fill="DBE5F1" w:themeFill="accent1" w:themeFillTint="33"/>
                </w:tcPr>
                <w:p w14:paraId="43DDAACA"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184</w:t>
                  </w:r>
                </w:p>
              </w:tc>
              <w:tc>
                <w:tcPr>
                  <w:tcW w:w="1701" w:type="dxa"/>
                  <w:shd w:val="clear" w:color="auto" w:fill="DBE5F1" w:themeFill="accent1" w:themeFillTint="33"/>
                </w:tcPr>
                <w:p w14:paraId="29EDDA1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1.9%</w:t>
                  </w:r>
                </w:p>
              </w:tc>
            </w:tr>
            <w:tr w:rsidR="00EE05AA" w:rsidRPr="00EE05AA" w14:paraId="5FA14458" w14:textId="77777777" w:rsidTr="009F44E7">
              <w:tc>
                <w:tcPr>
                  <w:tcW w:w="1306" w:type="dxa"/>
                  <w:shd w:val="clear" w:color="auto" w:fill="DBE5F1" w:themeFill="accent1" w:themeFillTint="33"/>
                </w:tcPr>
                <w:p w14:paraId="1B472C04" w14:textId="77777777" w:rsidR="00EE05AA" w:rsidRPr="00EE05AA" w:rsidRDefault="00EE05AA" w:rsidP="009F44E7">
                  <w:pPr>
                    <w:jc w:val="right"/>
                    <w:rPr>
                      <w:rFonts w:asciiTheme="majorHAnsi" w:hAnsiTheme="majorHAnsi" w:cs="Arial"/>
                      <w:b/>
                      <w:bCs/>
                      <w:color w:val="000000"/>
                      <w:sz w:val="22"/>
                      <w:szCs w:val="22"/>
                    </w:rPr>
                  </w:pPr>
                  <w:r w:rsidRPr="00EE05AA">
                    <w:rPr>
                      <w:rFonts w:asciiTheme="majorHAnsi" w:hAnsiTheme="majorHAnsi" w:cs="Arial"/>
                      <w:b/>
                      <w:bCs/>
                      <w:color w:val="000000"/>
                      <w:sz w:val="22"/>
                      <w:szCs w:val="22"/>
                    </w:rPr>
                    <w:t>19</w:t>
                  </w:r>
                </w:p>
              </w:tc>
              <w:tc>
                <w:tcPr>
                  <w:tcW w:w="850" w:type="dxa"/>
                  <w:shd w:val="clear" w:color="auto" w:fill="DBE5F1" w:themeFill="accent1" w:themeFillTint="33"/>
                </w:tcPr>
                <w:p w14:paraId="14706674"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47</w:t>
                  </w:r>
                </w:p>
              </w:tc>
              <w:tc>
                <w:tcPr>
                  <w:tcW w:w="1560" w:type="dxa"/>
                  <w:shd w:val="clear" w:color="auto" w:fill="FBD4B4" w:themeFill="accent6" w:themeFillTint="66"/>
                </w:tcPr>
                <w:p w14:paraId="3717312E" w14:textId="77777777" w:rsidR="00EE05AA" w:rsidRPr="00EE05AA" w:rsidRDefault="00EE05AA" w:rsidP="009F44E7">
                  <w:pPr>
                    <w:jc w:val="right"/>
                    <w:rPr>
                      <w:rFonts w:asciiTheme="majorHAnsi" w:hAnsiTheme="majorHAnsi" w:cs="Arial"/>
                      <w:color w:val="000000"/>
                      <w:sz w:val="22"/>
                      <w:szCs w:val="22"/>
                    </w:rPr>
                  </w:pPr>
                </w:p>
              </w:tc>
              <w:tc>
                <w:tcPr>
                  <w:tcW w:w="1417" w:type="dxa"/>
                  <w:shd w:val="clear" w:color="auto" w:fill="FDE9D9" w:themeFill="accent6" w:themeFillTint="33"/>
                </w:tcPr>
                <w:p w14:paraId="0FC67EAA"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FDE9D9" w:themeFill="accent6" w:themeFillTint="33"/>
                </w:tcPr>
                <w:p w14:paraId="4CF60823" w14:textId="77777777" w:rsidR="00EE05AA" w:rsidRPr="00EE05AA" w:rsidRDefault="00EE05AA" w:rsidP="009F44E7">
                  <w:pPr>
                    <w:jc w:val="right"/>
                    <w:rPr>
                      <w:rFonts w:asciiTheme="majorHAnsi" w:hAnsiTheme="majorHAnsi" w:cs="Arial"/>
                      <w:color w:val="000000"/>
                      <w:sz w:val="22"/>
                      <w:szCs w:val="22"/>
                    </w:rPr>
                  </w:pPr>
                </w:p>
              </w:tc>
              <w:tc>
                <w:tcPr>
                  <w:tcW w:w="1418" w:type="dxa"/>
                  <w:shd w:val="clear" w:color="auto" w:fill="DBE5F1" w:themeFill="accent1" w:themeFillTint="33"/>
                </w:tcPr>
                <w:p w14:paraId="15A31264" w14:textId="77777777" w:rsidR="00EE05AA" w:rsidRPr="00EE05AA" w:rsidRDefault="00EE05AA" w:rsidP="009F44E7">
                  <w:pPr>
                    <w:jc w:val="right"/>
                    <w:rPr>
                      <w:rFonts w:asciiTheme="majorHAnsi" w:hAnsiTheme="majorHAnsi" w:cs="Arial"/>
                      <w:color w:val="000000"/>
                      <w:sz w:val="22"/>
                      <w:szCs w:val="22"/>
                    </w:rPr>
                  </w:pPr>
                </w:p>
              </w:tc>
              <w:tc>
                <w:tcPr>
                  <w:tcW w:w="1701" w:type="dxa"/>
                  <w:shd w:val="clear" w:color="auto" w:fill="DBE5F1" w:themeFill="accent1" w:themeFillTint="33"/>
                </w:tcPr>
                <w:p w14:paraId="2C053A7B" w14:textId="77777777" w:rsidR="00EE05AA" w:rsidRPr="00EE05AA" w:rsidRDefault="00EE05AA" w:rsidP="009F44E7">
                  <w:pPr>
                    <w:jc w:val="right"/>
                    <w:rPr>
                      <w:rFonts w:asciiTheme="majorHAnsi" w:hAnsiTheme="majorHAnsi" w:cs="Arial"/>
                      <w:color w:val="000000"/>
                      <w:sz w:val="22"/>
                      <w:szCs w:val="22"/>
                    </w:rPr>
                  </w:pPr>
                </w:p>
              </w:tc>
            </w:tr>
          </w:tbl>
          <w:p w14:paraId="48C7BEA2" w14:textId="77777777" w:rsidR="00EE05AA" w:rsidRPr="00EE05AA" w:rsidRDefault="00EE05AA" w:rsidP="009F44E7">
            <w:pPr>
              <w:rPr>
                <w:rFonts w:asciiTheme="majorHAnsi" w:hAnsiTheme="majorHAnsi"/>
              </w:rPr>
            </w:pPr>
          </w:p>
          <w:p w14:paraId="31E91E73" w14:textId="77777777" w:rsidR="00EE05AA" w:rsidRPr="00EE05AA" w:rsidRDefault="00EE05AA" w:rsidP="009F44E7">
            <w:pPr>
              <w:jc w:val="right"/>
              <w:rPr>
                <w:rFonts w:asciiTheme="majorHAnsi" w:hAnsiTheme="majorHAnsi"/>
              </w:rPr>
            </w:pPr>
          </w:p>
          <w:p w14:paraId="5741F433" w14:textId="77777777" w:rsidR="00EE05AA" w:rsidRPr="00EE05AA" w:rsidRDefault="00EE05AA" w:rsidP="009F44E7">
            <w:pPr>
              <w:jc w:val="right"/>
              <w:rPr>
                <w:rFonts w:asciiTheme="majorHAnsi" w:hAnsiTheme="majorHAnsi"/>
              </w:rPr>
            </w:pPr>
          </w:p>
        </w:tc>
        <w:tc>
          <w:tcPr>
            <w:tcW w:w="1455" w:type="dxa"/>
            <w:tcBorders>
              <w:top w:val="nil"/>
              <w:left w:val="nil"/>
              <w:bottom w:val="nil"/>
              <w:right w:val="nil"/>
            </w:tcBorders>
            <w:shd w:val="clear" w:color="auto" w:fill="auto"/>
            <w:noWrap/>
            <w:vAlign w:val="bottom"/>
          </w:tcPr>
          <w:p w14:paraId="18421AE0" w14:textId="77777777" w:rsidR="00EE05AA" w:rsidRPr="00EE05AA" w:rsidRDefault="00EE05AA" w:rsidP="009F44E7">
            <w:pPr>
              <w:jc w:val="right"/>
              <w:rPr>
                <w:rFonts w:asciiTheme="majorHAnsi" w:hAnsiTheme="majorHAnsi"/>
              </w:rPr>
            </w:pPr>
          </w:p>
        </w:tc>
      </w:tr>
    </w:tbl>
    <w:p w14:paraId="1BC1919D" w14:textId="07C9B49D" w:rsidR="00EE05AA" w:rsidRPr="00EE05AA" w:rsidRDefault="00EE05AA" w:rsidP="00EE05AA">
      <w:pPr>
        <w:rPr>
          <w:rFonts w:asciiTheme="majorHAnsi" w:hAnsiTheme="majorHAnsi"/>
          <w:b/>
          <w:bCs/>
        </w:rPr>
      </w:pPr>
      <w:r w:rsidRPr="00EE05AA">
        <w:rPr>
          <w:rFonts w:asciiTheme="majorHAnsi" w:hAnsiTheme="majorHAnsi"/>
          <w:b/>
          <w:bCs/>
        </w:rPr>
        <w:t>Ethnicity of ‘known’ young men:</w:t>
      </w:r>
    </w:p>
    <w:p w14:paraId="6BFC0328" w14:textId="77777777" w:rsidR="00EE05AA" w:rsidRPr="00EE05AA" w:rsidRDefault="00EE05AA" w:rsidP="00EE05AA">
      <w:pPr>
        <w:rPr>
          <w:rFonts w:asciiTheme="majorHAnsi" w:hAnsiTheme="majorHAnsi"/>
        </w:rPr>
      </w:pPr>
    </w:p>
    <w:tbl>
      <w:tblPr>
        <w:tblStyle w:val="TableGrid"/>
        <w:tblW w:w="0" w:type="auto"/>
        <w:tblLook w:val="04A0" w:firstRow="1" w:lastRow="0" w:firstColumn="1" w:lastColumn="0" w:noHBand="0" w:noVBand="1"/>
      </w:tblPr>
      <w:tblGrid>
        <w:gridCol w:w="4476"/>
        <w:gridCol w:w="2183"/>
        <w:gridCol w:w="1908"/>
      </w:tblGrid>
      <w:tr w:rsidR="00EE05AA" w:rsidRPr="00EE05AA" w14:paraId="55C4AB75" w14:textId="77777777" w:rsidTr="009F44E7">
        <w:tc>
          <w:tcPr>
            <w:tcW w:w="6668" w:type="dxa"/>
            <w:gridSpan w:val="3"/>
          </w:tcPr>
          <w:p w14:paraId="3E120E8A" w14:textId="77777777" w:rsidR="00EE05AA" w:rsidRPr="00EE05AA" w:rsidRDefault="00EE05AA" w:rsidP="009F44E7">
            <w:pPr>
              <w:jc w:val="center"/>
              <w:rPr>
                <w:rFonts w:asciiTheme="majorHAnsi" w:hAnsiTheme="majorHAnsi" w:cs="Arial"/>
                <w:b/>
                <w:bCs/>
                <w:color w:val="000000"/>
                <w:sz w:val="22"/>
                <w:szCs w:val="22"/>
              </w:rPr>
            </w:pPr>
            <w:r w:rsidRPr="00EE05AA">
              <w:rPr>
                <w:rFonts w:asciiTheme="majorHAnsi" w:hAnsiTheme="majorHAnsi" w:cs="Arial"/>
                <w:b/>
                <w:bCs/>
                <w:color w:val="000000"/>
                <w:sz w:val="22"/>
                <w:szCs w:val="22"/>
              </w:rPr>
              <w:t>Ethnicity</w:t>
            </w:r>
          </w:p>
        </w:tc>
      </w:tr>
      <w:tr w:rsidR="00EE05AA" w:rsidRPr="00EE05AA" w14:paraId="7E22C445" w14:textId="77777777" w:rsidTr="009F44E7">
        <w:tc>
          <w:tcPr>
            <w:tcW w:w="0" w:type="auto"/>
          </w:tcPr>
          <w:p w14:paraId="74F293D9" w14:textId="77777777" w:rsidR="00EE05AA" w:rsidRPr="00EE05AA" w:rsidRDefault="00EE05AA" w:rsidP="009F44E7">
            <w:pPr>
              <w:jc w:val="right"/>
              <w:rPr>
                <w:rFonts w:asciiTheme="majorHAnsi" w:hAnsiTheme="majorHAnsi" w:cs="Arial"/>
                <w:color w:val="000000"/>
                <w:sz w:val="22"/>
                <w:szCs w:val="22"/>
              </w:rPr>
            </w:pPr>
          </w:p>
        </w:tc>
        <w:tc>
          <w:tcPr>
            <w:tcW w:w="2183" w:type="dxa"/>
          </w:tcPr>
          <w:p w14:paraId="191EDEB3"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 xml:space="preserve">Count </w:t>
            </w:r>
          </w:p>
        </w:tc>
        <w:tc>
          <w:tcPr>
            <w:tcW w:w="1908" w:type="dxa"/>
          </w:tcPr>
          <w:p w14:paraId="50523E0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 xml:space="preserve">Percentage </w:t>
            </w:r>
          </w:p>
        </w:tc>
      </w:tr>
      <w:tr w:rsidR="00EE05AA" w:rsidRPr="00EE05AA" w14:paraId="2E8B766E" w14:textId="77777777" w:rsidTr="009F44E7">
        <w:tc>
          <w:tcPr>
            <w:tcW w:w="0" w:type="auto"/>
          </w:tcPr>
          <w:p w14:paraId="16D08594"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Black/Black Brit Caribbean</w:t>
            </w:r>
          </w:p>
        </w:tc>
        <w:tc>
          <w:tcPr>
            <w:tcW w:w="2183" w:type="dxa"/>
          </w:tcPr>
          <w:p w14:paraId="58A131A4" w14:textId="4FE33775" w:rsidR="00EE05AA" w:rsidRPr="00EE05AA" w:rsidRDefault="0080697E" w:rsidP="009F44E7">
            <w:pPr>
              <w:jc w:val="right"/>
              <w:rPr>
                <w:rFonts w:asciiTheme="majorHAnsi" w:hAnsiTheme="majorHAnsi" w:cs="Arial"/>
                <w:color w:val="000000"/>
                <w:sz w:val="22"/>
                <w:szCs w:val="22"/>
              </w:rPr>
            </w:pPr>
            <w:r>
              <w:rPr>
                <w:rFonts w:asciiTheme="majorHAnsi" w:hAnsiTheme="majorHAnsi" w:cs="Arial"/>
                <w:color w:val="000000"/>
                <w:sz w:val="22"/>
                <w:szCs w:val="22"/>
              </w:rPr>
              <w:t>Less than 5</w:t>
            </w:r>
          </w:p>
        </w:tc>
        <w:tc>
          <w:tcPr>
            <w:tcW w:w="1908" w:type="dxa"/>
          </w:tcPr>
          <w:p w14:paraId="3AFA473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0.3</w:t>
            </w:r>
          </w:p>
        </w:tc>
      </w:tr>
      <w:tr w:rsidR="00EE05AA" w:rsidRPr="00EE05AA" w14:paraId="75F34F10" w14:textId="77777777" w:rsidTr="009F44E7">
        <w:tc>
          <w:tcPr>
            <w:tcW w:w="0" w:type="auto"/>
          </w:tcPr>
          <w:p w14:paraId="374B253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Black/Black Brit African</w:t>
            </w:r>
          </w:p>
        </w:tc>
        <w:tc>
          <w:tcPr>
            <w:tcW w:w="2183" w:type="dxa"/>
          </w:tcPr>
          <w:p w14:paraId="58DE8A5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19</w:t>
            </w:r>
          </w:p>
        </w:tc>
        <w:tc>
          <w:tcPr>
            <w:tcW w:w="1908" w:type="dxa"/>
          </w:tcPr>
          <w:p w14:paraId="6C6EE926"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1.9</w:t>
            </w:r>
          </w:p>
        </w:tc>
      </w:tr>
      <w:tr w:rsidR="00EE05AA" w:rsidRPr="00EE05AA" w14:paraId="1839B250" w14:textId="77777777" w:rsidTr="009F44E7">
        <w:tc>
          <w:tcPr>
            <w:tcW w:w="0" w:type="auto"/>
          </w:tcPr>
          <w:p w14:paraId="122D072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 xml:space="preserve">Any other Asian </w:t>
            </w:r>
          </w:p>
        </w:tc>
        <w:tc>
          <w:tcPr>
            <w:tcW w:w="2183" w:type="dxa"/>
          </w:tcPr>
          <w:p w14:paraId="64795EFA"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17</w:t>
            </w:r>
          </w:p>
        </w:tc>
        <w:tc>
          <w:tcPr>
            <w:tcW w:w="1908" w:type="dxa"/>
          </w:tcPr>
          <w:p w14:paraId="1F3D92E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1.7</w:t>
            </w:r>
          </w:p>
        </w:tc>
      </w:tr>
      <w:tr w:rsidR="00EE05AA" w:rsidRPr="00EE05AA" w14:paraId="1AE05310" w14:textId="77777777" w:rsidTr="009F44E7">
        <w:tc>
          <w:tcPr>
            <w:tcW w:w="0" w:type="auto"/>
          </w:tcPr>
          <w:p w14:paraId="787A6D5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Other ethnic Arab</w:t>
            </w:r>
          </w:p>
        </w:tc>
        <w:tc>
          <w:tcPr>
            <w:tcW w:w="2183" w:type="dxa"/>
          </w:tcPr>
          <w:p w14:paraId="0BC1B15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58</w:t>
            </w:r>
          </w:p>
        </w:tc>
        <w:tc>
          <w:tcPr>
            <w:tcW w:w="1908" w:type="dxa"/>
          </w:tcPr>
          <w:p w14:paraId="20BD57DC"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5.7</w:t>
            </w:r>
          </w:p>
        </w:tc>
      </w:tr>
      <w:tr w:rsidR="00EE05AA" w:rsidRPr="00EE05AA" w14:paraId="3DAEFF55" w14:textId="77777777" w:rsidTr="009F44E7">
        <w:tc>
          <w:tcPr>
            <w:tcW w:w="0" w:type="auto"/>
          </w:tcPr>
          <w:p w14:paraId="2ADF52D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Other Ethnic Grp</w:t>
            </w:r>
          </w:p>
        </w:tc>
        <w:tc>
          <w:tcPr>
            <w:tcW w:w="2183" w:type="dxa"/>
          </w:tcPr>
          <w:p w14:paraId="547B087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39</w:t>
            </w:r>
          </w:p>
        </w:tc>
        <w:tc>
          <w:tcPr>
            <w:tcW w:w="1908" w:type="dxa"/>
          </w:tcPr>
          <w:p w14:paraId="0F013DD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3.9</w:t>
            </w:r>
          </w:p>
        </w:tc>
      </w:tr>
      <w:tr w:rsidR="00EE05AA" w:rsidRPr="00EE05AA" w14:paraId="794C8E25" w14:textId="77777777" w:rsidTr="009F44E7">
        <w:tc>
          <w:tcPr>
            <w:tcW w:w="0" w:type="auto"/>
          </w:tcPr>
          <w:p w14:paraId="7D86349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Any Other Black/African/Caribbean Background</w:t>
            </w:r>
          </w:p>
        </w:tc>
        <w:tc>
          <w:tcPr>
            <w:tcW w:w="2183" w:type="dxa"/>
          </w:tcPr>
          <w:p w14:paraId="209DA250"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18</w:t>
            </w:r>
          </w:p>
        </w:tc>
        <w:tc>
          <w:tcPr>
            <w:tcW w:w="1908" w:type="dxa"/>
          </w:tcPr>
          <w:p w14:paraId="5A6895E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1.8</w:t>
            </w:r>
          </w:p>
        </w:tc>
      </w:tr>
      <w:tr w:rsidR="00EE05AA" w:rsidRPr="00EE05AA" w14:paraId="74ABB26E" w14:textId="77777777" w:rsidTr="009F44E7">
        <w:tc>
          <w:tcPr>
            <w:tcW w:w="0" w:type="auto"/>
          </w:tcPr>
          <w:p w14:paraId="08F6149C"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Asian/Asian Brit Bangladeshi</w:t>
            </w:r>
          </w:p>
        </w:tc>
        <w:tc>
          <w:tcPr>
            <w:tcW w:w="2183" w:type="dxa"/>
          </w:tcPr>
          <w:p w14:paraId="63815F30"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7</w:t>
            </w:r>
          </w:p>
        </w:tc>
        <w:tc>
          <w:tcPr>
            <w:tcW w:w="1908" w:type="dxa"/>
          </w:tcPr>
          <w:p w14:paraId="752DAF5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0.7</w:t>
            </w:r>
          </w:p>
        </w:tc>
      </w:tr>
      <w:tr w:rsidR="00EE05AA" w:rsidRPr="00EE05AA" w14:paraId="3205AC84" w14:textId="77777777" w:rsidTr="009F44E7">
        <w:tc>
          <w:tcPr>
            <w:tcW w:w="0" w:type="auto"/>
            <w:vAlign w:val="bottom"/>
          </w:tcPr>
          <w:p w14:paraId="79E9177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Asian/Asian Brit Chinese</w:t>
            </w:r>
          </w:p>
        </w:tc>
        <w:tc>
          <w:tcPr>
            <w:tcW w:w="2183" w:type="dxa"/>
          </w:tcPr>
          <w:p w14:paraId="7E368459" w14:textId="5AD360A3" w:rsidR="00EE05AA" w:rsidRPr="00EE05AA" w:rsidRDefault="0080697E" w:rsidP="009F44E7">
            <w:pPr>
              <w:jc w:val="right"/>
              <w:rPr>
                <w:rFonts w:asciiTheme="majorHAnsi" w:hAnsiTheme="majorHAnsi" w:cs="Arial"/>
                <w:color w:val="000000"/>
                <w:sz w:val="22"/>
                <w:szCs w:val="22"/>
              </w:rPr>
            </w:pPr>
            <w:r>
              <w:rPr>
                <w:rFonts w:asciiTheme="majorHAnsi" w:hAnsiTheme="majorHAnsi" w:cs="Arial"/>
                <w:color w:val="000000"/>
                <w:sz w:val="22"/>
                <w:szCs w:val="22"/>
              </w:rPr>
              <w:t>Less than 5</w:t>
            </w:r>
          </w:p>
        </w:tc>
        <w:tc>
          <w:tcPr>
            <w:tcW w:w="1908" w:type="dxa"/>
          </w:tcPr>
          <w:p w14:paraId="0C80533B" w14:textId="77777777" w:rsidR="00EE05AA" w:rsidRPr="00EE05AA" w:rsidRDefault="00EE05AA" w:rsidP="009F44E7">
            <w:pPr>
              <w:jc w:val="right"/>
              <w:rPr>
                <w:rFonts w:asciiTheme="majorHAnsi" w:hAnsiTheme="majorHAnsi" w:cs="Arial"/>
                <w:color w:val="000000"/>
                <w:sz w:val="22"/>
                <w:szCs w:val="22"/>
              </w:rPr>
            </w:pPr>
          </w:p>
        </w:tc>
      </w:tr>
      <w:tr w:rsidR="00EE05AA" w:rsidRPr="00EE05AA" w14:paraId="6DF2BA5A" w14:textId="77777777" w:rsidTr="009F44E7">
        <w:tc>
          <w:tcPr>
            <w:tcW w:w="0" w:type="auto"/>
          </w:tcPr>
          <w:p w14:paraId="1EB812A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Asian/Asian Brit Indian</w:t>
            </w:r>
          </w:p>
        </w:tc>
        <w:tc>
          <w:tcPr>
            <w:tcW w:w="2183" w:type="dxa"/>
          </w:tcPr>
          <w:p w14:paraId="16AF79B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6</w:t>
            </w:r>
          </w:p>
        </w:tc>
        <w:tc>
          <w:tcPr>
            <w:tcW w:w="1908" w:type="dxa"/>
          </w:tcPr>
          <w:p w14:paraId="64DC2E8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0.6</w:t>
            </w:r>
          </w:p>
        </w:tc>
      </w:tr>
      <w:tr w:rsidR="00EE05AA" w:rsidRPr="00EE05AA" w14:paraId="4529724C" w14:textId="77777777" w:rsidTr="009F44E7">
        <w:tc>
          <w:tcPr>
            <w:tcW w:w="0" w:type="auto"/>
          </w:tcPr>
          <w:p w14:paraId="13E3F473"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Asian/Asian Brit Pakistani</w:t>
            </w:r>
          </w:p>
        </w:tc>
        <w:tc>
          <w:tcPr>
            <w:tcW w:w="2183" w:type="dxa"/>
          </w:tcPr>
          <w:p w14:paraId="2B25AD0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6</w:t>
            </w:r>
          </w:p>
        </w:tc>
        <w:tc>
          <w:tcPr>
            <w:tcW w:w="1908" w:type="dxa"/>
          </w:tcPr>
          <w:p w14:paraId="5F6BC9CC"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0.6</w:t>
            </w:r>
          </w:p>
        </w:tc>
      </w:tr>
      <w:tr w:rsidR="00EE05AA" w:rsidRPr="00EE05AA" w14:paraId="1ACA6EBB" w14:textId="77777777" w:rsidTr="009F44E7">
        <w:tc>
          <w:tcPr>
            <w:tcW w:w="0" w:type="auto"/>
          </w:tcPr>
          <w:p w14:paraId="6212A99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 xml:space="preserve">White and Asian </w:t>
            </w:r>
          </w:p>
        </w:tc>
        <w:tc>
          <w:tcPr>
            <w:tcW w:w="2183" w:type="dxa"/>
          </w:tcPr>
          <w:p w14:paraId="010214B4"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14</w:t>
            </w:r>
          </w:p>
        </w:tc>
        <w:tc>
          <w:tcPr>
            <w:tcW w:w="1908" w:type="dxa"/>
          </w:tcPr>
          <w:p w14:paraId="47E0EBF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1.4</w:t>
            </w:r>
          </w:p>
        </w:tc>
      </w:tr>
      <w:tr w:rsidR="00EE05AA" w:rsidRPr="00EE05AA" w14:paraId="4506ECA2" w14:textId="77777777" w:rsidTr="009F44E7">
        <w:tc>
          <w:tcPr>
            <w:tcW w:w="0" w:type="auto"/>
          </w:tcPr>
          <w:p w14:paraId="6306B9BF"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White and Black African</w:t>
            </w:r>
          </w:p>
        </w:tc>
        <w:tc>
          <w:tcPr>
            <w:tcW w:w="2183" w:type="dxa"/>
          </w:tcPr>
          <w:p w14:paraId="1410CEF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21</w:t>
            </w:r>
          </w:p>
        </w:tc>
        <w:tc>
          <w:tcPr>
            <w:tcW w:w="1908" w:type="dxa"/>
          </w:tcPr>
          <w:p w14:paraId="63E0E03A"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2.1</w:t>
            </w:r>
          </w:p>
        </w:tc>
      </w:tr>
      <w:tr w:rsidR="00EE05AA" w:rsidRPr="00EE05AA" w14:paraId="05912F69" w14:textId="77777777" w:rsidTr="009F44E7">
        <w:tc>
          <w:tcPr>
            <w:tcW w:w="0" w:type="auto"/>
            <w:vAlign w:val="bottom"/>
          </w:tcPr>
          <w:p w14:paraId="35B0DB5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333333"/>
                <w:sz w:val="22"/>
                <w:szCs w:val="22"/>
              </w:rPr>
              <w:t>Mixed Multiple Ethnic Background</w:t>
            </w:r>
          </w:p>
        </w:tc>
        <w:tc>
          <w:tcPr>
            <w:tcW w:w="2183" w:type="dxa"/>
          </w:tcPr>
          <w:p w14:paraId="5CDB864D" w14:textId="7A2F44F2" w:rsidR="00EE05AA" w:rsidRPr="00EE05AA" w:rsidRDefault="0080697E" w:rsidP="009F44E7">
            <w:pPr>
              <w:jc w:val="right"/>
              <w:rPr>
                <w:rFonts w:asciiTheme="majorHAnsi" w:hAnsiTheme="majorHAnsi" w:cs="Arial"/>
                <w:color w:val="000000"/>
                <w:sz w:val="22"/>
                <w:szCs w:val="22"/>
              </w:rPr>
            </w:pPr>
            <w:r>
              <w:rPr>
                <w:rFonts w:asciiTheme="majorHAnsi" w:hAnsiTheme="majorHAnsi" w:cs="Arial"/>
                <w:color w:val="000000"/>
                <w:sz w:val="22"/>
                <w:szCs w:val="22"/>
              </w:rPr>
              <w:t>Less than 5</w:t>
            </w:r>
          </w:p>
        </w:tc>
        <w:tc>
          <w:tcPr>
            <w:tcW w:w="1908" w:type="dxa"/>
          </w:tcPr>
          <w:p w14:paraId="6CBC0ED0"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0.4</w:t>
            </w:r>
          </w:p>
        </w:tc>
      </w:tr>
      <w:tr w:rsidR="00EE05AA" w:rsidRPr="00EE05AA" w14:paraId="468B5EB7" w14:textId="77777777" w:rsidTr="009F44E7">
        <w:tc>
          <w:tcPr>
            <w:tcW w:w="0" w:type="auto"/>
            <w:vAlign w:val="bottom"/>
          </w:tcPr>
          <w:p w14:paraId="2DD48DB6" w14:textId="77777777" w:rsidR="00EE05AA" w:rsidRPr="00EE05AA" w:rsidRDefault="00EE05AA" w:rsidP="009F44E7">
            <w:pPr>
              <w:jc w:val="right"/>
              <w:rPr>
                <w:rFonts w:asciiTheme="majorHAnsi" w:hAnsiTheme="majorHAnsi" w:cs="Arial"/>
                <w:color w:val="333333"/>
                <w:sz w:val="22"/>
                <w:szCs w:val="22"/>
              </w:rPr>
            </w:pPr>
            <w:r w:rsidRPr="00EE05AA">
              <w:rPr>
                <w:rFonts w:asciiTheme="majorHAnsi" w:hAnsiTheme="majorHAnsi" w:cs="Arial"/>
                <w:color w:val="333333"/>
                <w:sz w:val="22"/>
                <w:szCs w:val="22"/>
              </w:rPr>
              <w:t xml:space="preserve">Gypsy or Roma </w:t>
            </w:r>
          </w:p>
        </w:tc>
        <w:tc>
          <w:tcPr>
            <w:tcW w:w="2183" w:type="dxa"/>
          </w:tcPr>
          <w:p w14:paraId="4E4D4C4B" w14:textId="02750229" w:rsidR="00EE05AA" w:rsidRPr="00EE05AA" w:rsidRDefault="0080697E" w:rsidP="009F44E7">
            <w:pPr>
              <w:jc w:val="right"/>
              <w:rPr>
                <w:rFonts w:asciiTheme="majorHAnsi" w:hAnsiTheme="majorHAnsi" w:cs="Arial"/>
                <w:color w:val="000000"/>
                <w:sz w:val="22"/>
                <w:szCs w:val="22"/>
              </w:rPr>
            </w:pPr>
            <w:r>
              <w:rPr>
                <w:rFonts w:asciiTheme="majorHAnsi" w:hAnsiTheme="majorHAnsi" w:cs="Arial"/>
                <w:color w:val="000000"/>
                <w:sz w:val="22"/>
                <w:szCs w:val="22"/>
              </w:rPr>
              <w:t>Less than 5</w:t>
            </w:r>
          </w:p>
        </w:tc>
        <w:tc>
          <w:tcPr>
            <w:tcW w:w="1908" w:type="dxa"/>
          </w:tcPr>
          <w:p w14:paraId="0674B68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0.2</w:t>
            </w:r>
          </w:p>
        </w:tc>
      </w:tr>
      <w:tr w:rsidR="00EE05AA" w:rsidRPr="00EE05AA" w14:paraId="5C43ADCF" w14:textId="77777777" w:rsidTr="009F44E7">
        <w:tc>
          <w:tcPr>
            <w:tcW w:w="0" w:type="auto"/>
          </w:tcPr>
          <w:p w14:paraId="6BBD6E1E"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White and Black Caribbean</w:t>
            </w:r>
          </w:p>
        </w:tc>
        <w:tc>
          <w:tcPr>
            <w:tcW w:w="2183" w:type="dxa"/>
          </w:tcPr>
          <w:p w14:paraId="5D36545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20</w:t>
            </w:r>
          </w:p>
        </w:tc>
        <w:tc>
          <w:tcPr>
            <w:tcW w:w="1908" w:type="dxa"/>
          </w:tcPr>
          <w:p w14:paraId="084F10C9"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2.0</w:t>
            </w:r>
          </w:p>
        </w:tc>
      </w:tr>
      <w:tr w:rsidR="00EE05AA" w:rsidRPr="00EE05AA" w14:paraId="0A2C1A2E" w14:textId="77777777" w:rsidTr="009F44E7">
        <w:tc>
          <w:tcPr>
            <w:tcW w:w="0" w:type="auto"/>
          </w:tcPr>
          <w:p w14:paraId="2B6FC048"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White British incl white English</w:t>
            </w:r>
          </w:p>
        </w:tc>
        <w:tc>
          <w:tcPr>
            <w:tcW w:w="2183" w:type="dxa"/>
          </w:tcPr>
          <w:p w14:paraId="79305B13"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636</w:t>
            </w:r>
          </w:p>
        </w:tc>
        <w:tc>
          <w:tcPr>
            <w:tcW w:w="1908" w:type="dxa"/>
          </w:tcPr>
          <w:p w14:paraId="4F22EEB3"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63.7</w:t>
            </w:r>
          </w:p>
        </w:tc>
      </w:tr>
      <w:tr w:rsidR="00EE05AA" w:rsidRPr="00EE05AA" w14:paraId="4A428123" w14:textId="77777777" w:rsidTr="009F44E7">
        <w:tc>
          <w:tcPr>
            <w:tcW w:w="0" w:type="auto"/>
          </w:tcPr>
          <w:p w14:paraId="58F4FF52"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White other, incl white Irish</w:t>
            </w:r>
          </w:p>
        </w:tc>
        <w:tc>
          <w:tcPr>
            <w:tcW w:w="2183" w:type="dxa"/>
          </w:tcPr>
          <w:p w14:paraId="49F3D7DC"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50</w:t>
            </w:r>
          </w:p>
        </w:tc>
        <w:tc>
          <w:tcPr>
            <w:tcW w:w="1908" w:type="dxa"/>
          </w:tcPr>
          <w:p w14:paraId="2AAD026B"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5</w:t>
            </w:r>
          </w:p>
        </w:tc>
      </w:tr>
      <w:tr w:rsidR="00EE05AA" w:rsidRPr="00EE05AA" w14:paraId="0850C15E" w14:textId="77777777" w:rsidTr="009F44E7">
        <w:tc>
          <w:tcPr>
            <w:tcW w:w="0" w:type="auto"/>
          </w:tcPr>
          <w:p w14:paraId="7460F361"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 xml:space="preserve">Mixed other </w:t>
            </w:r>
          </w:p>
        </w:tc>
        <w:tc>
          <w:tcPr>
            <w:tcW w:w="2183" w:type="dxa"/>
          </w:tcPr>
          <w:p w14:paraId="4665BE02"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39</w:t>
            </w:r>
          </w:p>
        </w:tc>
        <w:tc>
          <w:tcPr>
            <w:tcW w:w="1908" w:type="dxa"/>
          </w:tcPr>
          <w:p w14:paraId="4837309D" w14:textId="77777777" w:rsidR="00EE05AA" w:rsidRPr="00EE05AA" w:rsidRDefault="00EE05AA" w:rsidP="009F44E7">
            <w:pPr>
              <w:jc w:val="right"/>
              <w:rPr>
                <w:rFonts w:asciiTheme="majorHAnsi" w:hAnsiTheme="majorHAnsi" w:cs="Arial"/>
                <w:color w:val="000000"/>
                <w:sz w:val="22"/>
                <w:szCs w:val="22"/>
              </w:rPr>
            </w:pPr>
            <w:r w:rsidRPr="00EE05AA">
              <w:rPr>
                <w:rFonts w:asciiTheme="majorHAnsi" w:hAnsiTheme="majorHAnsi" w:cs="Arial"/>
                <w:color w:val="000000"/>
                <w:sz w:val="22"/>
                <w:szCs w:val="22"/>
              </w:rPr>
              <w:t>4</w:t>
            </w:r>
          </w:p>
        </w:tc>
      </w:tr>
    </w:tbl>
    <w:p w14:paraId="541A653B" w14:textId="5979E193" w:rsidR="0080697E" w:rsidRPr="00EE05AA" w:rsidRDefault="00EE05AA" w:rsidP="00EE05AA">
      <w:pPr>
        <w:rPr>
          <w:rFonts w:asciiTheme="majorHAnsi" w:hAnsiTheme="majorHAnsi"/>
        </w:rPr>
      </w:pPr>
      <w:r w:rsidRPr="00EE05AA">
        <w:rPr>
          <w:rFonts w:asciiTheme="majorHAnsi" w:hAnsiTheme="majorHAnsi"/>
        </w:rPr>
        <w:t>Unknown 6; Refused 1; Not stated 4; Not yet obtained 24</w:t>
      </w:r>
    </w:p>
    <w:p w14:paraId="1E4AD031" w14:textId="77777777" w:rsidR="00EE05AA" w:rsidRPr="00EE05AA" w:rsidRDefault="00EE05AA" w:rsidP="0080697E">
      <w:pPr>
        <w:rPr>
          <w:rFonts w:asciiTheme="majorHAnsi" w:hAnsiTheme="majorHAnsi"/>
        </w:rPr>
      </w:pPr>
      <w:r w:rsidRPr="00EE05AA">
        <w:rPr>
          <w:rFonts w:asciiTheme="majorHAnsi" w:hAnsiTheme="majorHAnsi"/>
        </w:rPr>
        <w:lastRenderedPageBreak/>
        <w:t xml:space="preserve">In respect of disability, only 6 of the 1010 young men were recorded as having a known disability. </w:t>
      </w:r>
    </w:p>
    <w:p w14:paraId="24060E26" w14:textId="77777777" w:rsidR="00EE05AA" w:rsidRPr="00EE05AA" w:rsidRDefault="00EE05AA" w:rsidP="003A79C9">
      <w:pPr>
        <w:spacing w:line="360" w:lineRule="auto"/>
        <w:rPr>
          <w:rFonts w:asciiTheme="majorHAnsi" w:hAnsiTheme="majorHAnsi"/>
        </w:rPr>
      </w:pPr>
    </w:p>
    <w:p w14:paraId="17599CB4" w14:textId="27AB1809" w:rsidR="00EE05AA" w:rsidRPr="00EE05AA" w:rsidRDefault="00EE05AA" w:rsidP="260A14CD">
      <w:pPr>
        <w:spacing w:line="360" w:lineRule="auto"/>
        <w:rPr>
          <w:rFonts w:asciiTheme="majorHAnsi" w:hAnsiTheme="majorHAnsi"/>
        </w:rPr>
      </w:pPr>
      <w:r w:rsidRPr="260A14CD">
        <w:rPr>
          <w:rFonts w:asciiTheme="majorHAnsi" w:hAnsiTheme="majorHAnsi"/>
        </w:rPr>
        <w:t xml:space="preserve">Turning to consider involvement with social work services, the number of </w:t>
      </w:r>
      <w:r w:rsidR="17565492" w:rsidRPr="260A14CD">
        <w:rPr>
          <w:rFonts w:asciiTheme="majorHAnsi" w:hAnsiTheme="majorHAnsi"/>
        </w:rPr>
        <w:t>‘</w:t>
      </w:r>
      <w:r w:rsidRPr="260A14CD">
        <w:rPr>
          <w:rFonts w:asciiTheme="majorHAnsi" w:hAnsiTheme="majorHAnsi"/>
        </w:rPr>
        <w:t>child in need</w:t>
      </w:r>
      <w:r w:rsidR="7A6F4351" w:rsidRPr="260A14CD">
        <w:rPr>
          <w:rFonts w:asciiTheme="majorHAnsi" w:hAnsiTheme="majorHAnsi"/>
        </w:rPr>
        <w:t>’</w:t>
      </w:r>
      <w:r w:rsidRPr="260A14CD">
        <w:rPr>
          <w:rFonts w:asciiTheme="majorHAnsi" w:hAnsiTheme="majorHAnsi"/>
        </w:rPr>
        <w:t xml:space="preserve"> flagged young men was a predictably high proportion of those included on the spreadsheet with 487 labelled as such. In terms of </w:t>
      </w:r>
      <w:r w:rsidR="61E04296" w:rsidRPr="260A14CD">
        <w:rPr>
          <w:rFonts w:asciiTheme="majorHAnsi" w:hAnsiTheme="majorHAnsi"/>
        </w:rPr>
        <w:t>‘</w:t>
      </w:r>
      <w:r w:rsidRPr="260A14CD">
        <w:rPr>
          <w:rFonts w:asciiTheme="majorHAnsi" w:hAnsiTheme="majorHAnsi"/>
        </w:rPr>
        <w:t>looked after children</w:t>
      </w:r>
      <w:r w:rsidR="75D74E6A" w:rsidRPr="260A14CD">
        <w:rPr>
          <w:rFonts w:asciiTheme="majorHAnsi" w:hAnsiTheme="majorHAnsi"/>
        </w:rPr>
        <w:t>’</w:t>
      </w:r>
      <w:r w:rsidRPr="260A14CD">
        <w:rPr>
          <w:rFonts w:asciiTheme="majorHAnsi" w:hAnsiTheme="majorHAnsi"/>
        </w:rPr>
        <w:t xml:space="preserve">, the average number of episodes of care was 1.2 although this may be affected by different interpretations of what ‘episode’ means.  </w:t>
      </w:r>
    </w:p>
    <w:tbl>
      <w:tblPr>
        <w:tblW w:w="1300" w:type="dxa"/>
        <w:tblLook w:val="04A0" w:firstRow="1" w:lastRow="0" w:firstColumn="1" w:lastColumn="0" w:noHBand="0" w:noVBand="1"/>
      </w:tblPr>
      <w:tblGrid>
        <w:gridCol w:w="1300"/>
      </w:tblGrid>
      <w:tr w:rsidR="00EE05AA" w:rsidRPr="00EE05AA" w14:paraId="3C7EFBA4" w14:textId="77777777" w:rsidTr="009F44E7">
        <w:trPr>
          <w:trHeight w:val="260"/>
        </w:trPr>
        <w:tc>
          <w:tcPr>
            <w:tcW w:w="1300" w:type="dxa"/>
            <w:tcBorders>
              <w:top w:val="nil"/>
              <w:left w:val="nil"/>
              <w:bottom w:val="nil"/>
              <w:right w:val="nil"/>
            </w:tcBorders>
            <w:shd w:val="clear" w:color="auto" w:fill="auto"/>
            <w:noWrap/>
            <w:vAlign w:val="bottom"/>
            <w:hideMark/>
          </w:tcPr>
          <w:p w14:paraId="63DD5126" w14:textId="77777777" w:rsidR="00EE05AA" w:rsidRPr="00EE05AA" w:rsidRDefault="00EE05AA" w:rsidP="003A79C9">
            <w:pPr>
              <w:spacing w:line="360" w:lineRule="auto"/>
              <w:rPr>
                <w:rFonts w:asciiTheme="majorHAnsi" w:hAnsiTheme="majorHAnsi"/>
                <w:color w:val="333333"/>
              </w:rPr>
            </w:pPr>
          </w:p>
        </w:tc>
      </w:tr>
    </w:tbl>
    <w:p w14:paraId="6E889E70" w14:textId="77777777" w:rsidR="00EE05AA" w:rsidRPr="00EE05AA" w:rsidRDefault="00EE05AA" w:rsidP="003A79C9">
      <w:pPr>
        <w:spacing w:line="360" w:lineRule="auto"/>
        <w:rPr>
          <w:rFonts w:asciiTheme="majorHAnsi" w:hAnsiTheme="majorHAnsi"/>
        </w:rPr>
      </w:pPr>
      <w:r w:rsidRPr="00EE05AA">
        <w:rPr>
          <w:rFonts w:asciiTheme="majorHAnsi" w:hAnsiTheme="majorHAnsi"/>
        </w:rPr>
        <w:t xml:space="preserve">In respect of known or potential harm and abuse, only one of the young men included in the local dataset was deemed to have experienced abuse ‘linked to faith or belief’. Half of all the young men had experienced s47 (Children Act, 1989) investigation processes. Whilst the majority of these (258) had experienced one such period, 141 young men had experienced multiple investigation processes, with the range extending up to 8 investigation periods.  </w:t>
      </w:r>
    </w:p>
    <w:p w14:paraId="66D48702" w14:textId="77777777" w:rsidR="00EE05AA" w:rsidRPr="00EE05AA" w:rsidRDefault="00EE05AA" w:rsidP="003A79C9">
      <w:pPr>
        <w:spacing w:line="360" w:lineRule="auto"/>
        <w:rPr>
          <w:rFonts w:asciiTheme="majorHAnsi" w:hAnsiTheme="majorHAnsi"/>
        </w:rPr>
      </w:pPr>
    </w:p>
    <w:p w14:paraId="024C370A" w14:textId="4FB89122" w:rsidR="00EE05AA" w:rsidRPr="00EE05AA" w:rsidRDefault="00EE05AA" w:rsidP="260A14CD">
      <w:pPr>
        <w:spacing w:line="360" w:lineRule="auto"/>
        <w:rPr>
          <w:rFonts w:asciiTheme="majorHAnsi" w:hAnsiTheme="majorHAnsi"/>
        </w:rPr>
      </w:pPr>
      <w:r w:rsidRPr="260A14CD">
        <w:rPr>
          <w:rFonts w:asciiTheme="majorHAnsi" w:hAnsiTheme="majorHAnsi"/>
        </w:rPr>
        <w:t xml:space="preserve">80 of the young men had flags for all forms of abuse, with 173 having flags for emotional abuse, 135 for neglect, 105 for physical abuse and 80 for sexual abuse. In terms of the use of child protection plans (see also previous LGA data), the range of episodes on a plan was 1-5 with the average being 1.6. the number of days on a plan ranged from 80 days to 10120 </w:t>
      </w:r>
      <w:r w:rsidR="2201F04D" w:rsidRPr="260A14CD">
        <w:rPr>
          <w:rFonts w:asciiTheme="majorHAnsi" w:hAnsiTheme="majorHAnsi"/>
        </w:rPr>
        <w:t xml:space="preserve">(presumably an error) </w:t>
      </w:r>
      <w:r w:rsidRPr="260A14CD">
        <w:rPr>
          <w:rFonts w:asciiTheme="majorHAnsi" w:hAnsiTheme="majorHAnsi"/>
        </w:rPr>
        <w:t>with the average being 1465</w:t>
      </w:r>
      <w:r w:rsidR="7BEF2251" w:rsidRPr="260A14CD">
        <w:rPr>
          <w:rFonts w:asciiTheme="majorHAnsi" w:hAnsiTheme="majorHAnsi"/>
        </w:rPr>
        <w:t xml:space="preserve"> days</w:t>
      </w:r>
      <w:r w:rsidRPr="260A14CD">
        <w:rPr>
          <w:rFonts w:asciiTheme="majorHAnsi" w:hAnsiTheme="majorHAnsi"/>
        </w:rPr>
        <w:t xml:space="preserve">. </w:t>
      </w:r>
    </w:p>
    <w:p w14:paraId="40E82FE8" w14:textId="77777777" w:rsidR="00EE05AA" w:rsidRPr="00EE05AA" w:rsidRDefault="00EE05AA" w:rsidP="003A79C9">
      <w:pPr>
        <w:spacing w:line="360" w:lineRule="auto"/>
        <w:rPr>
          <w:rFonts w:asciiTheme="majorHAnsi" w:hAnsiTheme="majorHAnsi"/>
        </w:rPr>
      </w:pPr>
    </w:p>
    <w:p w14:paraId="7FA9713C" w14:textId="3F510C06" w:rsidR="00EE05AA" w:rsidRPr="00EE05AA" w:rsidRDefault="00EE05AA" w:rsidP="260A14CD">
      <w:pPr>
        <w:spacing w:line="360" w:lineRule="auto"/>
        <w:rPr>
          <w:rFonts w:asciiTheme="majorHAnsi" w:hAnsiTheme="majorHAnsi"/>
        </w:rPr>
      </w:pPr>
      <w:r w:rsidRPr="260A14CD">
        <w:rPr>
          <w:rFonts w:asciiTheme="majorHAnsi" w:hAnsiTheme="majorHAnsi"/>
        </w:rPr>
        <w:t xml:space="preserve">Young men’s data where they had of high numbers of days on a </w:t>
      </w:r>
      <w:r w:rsidR="7CF48AD4" w:rsidRPr="260A14CD">
        <w:rPr>
          <w:rFonts w:asciiTheme="majorHAnsi" w:hAnsiTheme="majorHAnsi"/>
        </w:rPr>
        <w:t xml:space="preserve">child protection </w:t>
      </w:r>
      <w:r w:rsidRPr="260A14CD">
        <w:rPr>
          <w:rFonts w:asciiTheme="majorHAnsi" w:hAnsiTheme="majorHAnsi"/>
        </w:rPr>
        <w:t xml:space="preserve">plan and days in care were explored in detail to attempts to establish additional correlations, but this did not prove meaningful and there were in fact very few apparent correlations. </w:t>
      </w:r>
    </w:p>
    <w:p w14:paraId="577464EC" w14:textId="77777777" w:rsidR="00EE05AA" w:rsidRPr="00EE05AA" w:rsidRDefault="00EE05AA" w:rsidP="003A79C9">
      <w:pPr>
        <w:pStyle w:val="BodyText"/>
        <w:spacing w:line="360" w:lineRule="auto"/>
        <w:rPr>
          <w:rFonts w:asciiTheme="majorHAnsi" w:hAnsiTheme="majorHAnsi"/>
          <w:sz w:val="22"/>
          <w:szCs w:val="22"/>
        </w:rPr>
      </w:pPr>
    </w:p>
    <w:p w14:paraId="275088CE" w14:textId="175F72B5" w:rsidR="00EE05AA" w:rsidRPr="00301C85" w:rsidRDefault="00EE05AA" w:rsidP="088F2921">
      <w:pPr>
        <w:pStyle w:val="BodyText"/>
        <w:spacing w:line="360" w:lineRule="auto"/>
        <w:rPr>
          <w:rFonts w:asciiTheme="majorHAnsi" w:hAnsiTheme="majorHAnsi"/>
          <w:sz w:val="24"/>
          <w:szCs w:val="24"/>
        </w:rPr>
      </w:pPr>
      <w:r w:rsidRPr="00301C85">
        <w:rPr>
          <w:rFonts w:asciiTheme="majorHAnsi" w:hAnsiTheme="majorHAnsi"/>
          <w:sz w:val="24"/>
          <w:szCs w:val="24"/>
        </w:rPr>
        <w:t xml:space="preserve">The number of </w:t>
      </w:r>
      <w:r w:rsidR="05C6CA98" w:rsidRPr="00301C85">
        <w:rPr>
          <w:rFonts w:asciiTheme="majorHAnsi" w:hAnsiTheme="majorHAnsi"/>
          <w:sz w:val="24"/>
          <w:szCs w:val="24"/>
        </w:rPr>
        <w:t xml:space="preserve">boys and </w:t>
      </w:r>
      <w:r w:rsidRPr="00301C85">
        <w:rPr>
          <w:rFonts w:asciiTheme="majorHAnsi" w:hAnsiTheme="majorHAnsi"/>
          <w:sz w:val="24"/>
          <w:szCs w:val="24"/>
        </w:rPr>
        <w:t xml:space="preserve">young men flagged for gang-related concerns was </w:t>
      </w:r>
      <w:r w:rsidR="001805F2" w:rsidRPr="00301C85">
        <w:rPr>
          <w:rFonts w:asciiTheme="majorHAnsi" w:hAnsiTheme="majorHAnsi"/>
          <w:sz w:val="24"/>
          <w:szCs w:val="24"/>
        </w:rPr>
        <w:t>59, with</w:t>
      </w:r>
      <w:r w:rsidRPr="00301C85">
        <w:rPr>
          <w:rFonts w:asciiTheme="majorHAnsi" w:hAnsiTheme="majorHAnsi"/>
          <w:sz w:val="24"/>
          <w:szCs w:val="24"/>
        </w:rPr>
        <w:t xml:space="preserve"> </w:t>
      </w:r>
      <w:r w:rsidR="001805F2" w:rsidRPr="00301C85">
        <w:rPr>
          <w:rFonts w:asciiTheme="majorHAnsi" w:hAnsiTheme="majorHAnsi"/>
          <w:sz w:val="24"/>
          <w:szCs w:val="24"/>
        </w:rPr>
        <w:t xml:space="preserve">nine </w:t>
      </w:r>
      <w:r w:rsidRPr="00301C85">
        <w:rPr>
          <w:rFonts w:asciiTheme="majorHAnsi" w:hAnsiTheme="majorHAnsi"/>
          <w:sz w:val="24"/>
          <w:szCs w:val="24"/>
        </w:rPr>
        <w:t xml:space="preserve">of these also being flagged for risks associated with criminal exploitation and/or for sexual exploitation (lower than for </w:t>
      </w:r>
      <w:r w:rsidR="0DE26D05" w:rsidRPr="00301C85">
        <w:rPr>
          <w:rFonts w:asciiTheme="majorHAnsi" w:hAnsiTheme="majorHAnsi"/>
          <w:sz w:val="24"/>
          <w:szCs w:val="24"/>
        </w:rPr>
        <w:t>girls</w:t>
      </w:r>
      <w:r w:rsidRPr="00301C85">
        <w:rPr>
          <w:rFonts w:asciiTheme="majorHAnsi" w:hAnsiTheme="majorHAnsi"/>
          <w:sz w:val="24"/>
          <w:szCs w:val="24"/>
        </w:rPr>
        <w:t xml:space="preserve"> it seemed</w:t>
      </w:r>
      <w:r w:rsidR="14D92A92" w:rsidRPr="00301C85">
        <w:rPr>
          <w:rFonts w:asciiTheme="majorHAnsi" w:hAnsiTheme="majorHAnsi"/>
          <w:sz w:val="24"/>
          <w:szCs w:val="24"/>
        </w:rPr>
        <w:t xml:space="preserve">, as these </w:t>
      </w:r>
      <w:r w:rsidR="5585A221" w:rsidRPr="00301C85">
        <w:rPr>
          <w:rFonts w:asciiTheme="majorHAnsi" w:hAnsiTheme="majorHAnsi"/>
          <w:sz w:val="24"/>
          <w:szCs w:val="24"/>
        </w:rPr>
        <w:t>had been</w:t>
      </w:r>
      <w:r w:rsidR="14D92A92" w:rsidRPr="00301C85">
        <w:rPr>
          <w:rFonts w:asciiTheme="majorHAnsi" w:hAnsiTheme="majorHAnsi"/>
          <w:sz w:val="24"/>
          <w:szCs w:val="24"/>
        </w:rPr>
        <w:t xml:space="preserve"> included on the first download of data we received</w:t>
      </w:r>
      <w:r w:rsidR="001805F2" w:rsidRPr="00301C85">
        <w:rPr>
          <w:rFonts w:asciiTheme="majorHAnsi" w:hAnsiTheme="majorHAnsi"/>
          <w:sz w:val="24"/>
          <w:szCs w:val="24"/>
        </w:rPr>
        <w:t>)</w:t>
      </w:r>
      <w:r w:rsidRPr="00301C85">
        <w:rPr>
          <w:rFonts w:asciiTheme="majorHAnsi" w:hAnsiTheme="majorHAnsi"/>
          <w:sz w:val="24"/>
          <w:szCs w:val="24"/>
        </w:rPr>
        <w:t xml:space="preserve">. None of those young men had correlatingly long periods of time in care. 7 </w:t>
      </w:r>
      <w:r w:rsidRPr="00301C85">
        <w:rPr>
          <w:rFonts w:asciiTheme="majorHAnsi" w:hAnsiTheme="majorHAnsi"/>
          <w:sz w:val="24"/>
          <w:szCs w:val="24"/>
        </w:rPr>
        <w:lastRenderedPageBreak/>
        <w:t xml:space="preserve">young men were flagged for concerns relating to sexual exploitation and 38 for criminal exploitation in total. Trafficking was flagged as a concern for </w:t>
      </w:r>
      <w:r w:rsidR="001805F2" w:rsidRPr="00301C85">
        <w:rPr>
          <w:rFonts w:asciiTheme="majorHAnsi" w:hAnsiTheme="majorHAnsi"/>
          <w:sz w:val="24"/>
          <w:szCs w:val="24"/>
        </w:rPr>
        <w:t xml:space="preserve">nine </w:t>
      </w:r>
      <w:r w:rsidRPr="00301C85">
        <w:rPr>
          <w:rFonts w:asciiTheme="majorHAnsi" w:hAnsiTheme="majorHAnsi"/>
          <w:sz w:val="24"/>
          <w:szCs w:val="24"/>
        </w:rPr>
        <w:t xml:space="preserve">young men with </w:t>
      </w:r>
      <w:r w:rsidR="001805F2" w:rsidRPr="00301C85">
        <w:rPr>
          <w:rFonts w:asciiTheme="majorHAnsi" w:hAnsiTheme="majorHAnsi"/>
          <w:sz w:val="24"/>
          <w:szCs w:val="24"/>
        </w:rPr>
        <w:t>self-harm</w:t>
      </w:r>
      <w:r w:rsidRPr="00301C85">
        <w:rPr>
          <w:rFonts w:asciiTheme="majorHAnsi" w:hAnsiTheme="majorHAnsi"/>
          <w:sz w:val="24"/>
          <w:szCs w:val="24"/>
        </w:rPr>
        <w:t xml:space="preserve"> being a concern in relation to 78 young men. Interestingly, 76 were identified as young carers, whilst only 24 were noted as being unaccompanied </w:t>
      </w:r>
      <w:r w:rsidR="001805F2" w:rsidRPr="00301C85">
        <w:rPr>
          <w:rFonts w:asciiTheme="majorHAnsi" w:hAnsiTheme="majorHAnsi"/>
          <w:sz w:val="24"/>
          <w:szCs w:val="24"/>
        </w:rPr>
        <w:t>asylum-seeking</w:t>
      </w:r>
      <w:r w:rsidRPr="00301C85">
        <w:rPr>
          <w:rFonts w:asciiTheme="majorHAnsi" w:hAnsiTheme="majorHAnsi"/>
          <w:sz w:val="24"/>
          <w:szCs w:val="24"/>
        </w:rPr>
        <w:t xml:space="preserve"> children. </w:t>
      </w:r>
    </w:p>
    <w:p w14:paraId="1681BB4B" w14:textId="26479147" w:rsidR="003A79C9" w:rsidRPr="00EE05AA" w:rsidRDefault="007813F2" w:rsidP="005517B6">
      <w:r>
        <w:rPr>
          <w:rFonts w:asciiTheme="majorHAnsi" w:hAnsiTheme="majorHAnsi"/>
        </w:rPr>
        <w:br w:type="page"/>
      </w:r>
    </w:p>
    <w:p w14:paraId="7A5FE499" w14:textId="5CA17F06" w:rsidR="00EE05AA" w:rsidRPr="00D00DD0" w:rsidRDefault="00EE05AA" w:rsidP="002B29F6">
      <w:pPr>
        <w:pStyle w:val="ListParagraph"/>
        <w:numPr>
          <w:ilvl w:val="0"/>
          <w:numId w:val="23"/>
        </w:numPr>
        <w:spacing w:line="360" w:lineRule="auto"/>
        <w:rPr>
          <w:rFonts w:asciiTheme="majorHAnsi" w:hAnsiTheme="majorHAnsi"/>
          <w:b/>
          <w:bCs/>
          <w:u w:val="single"/>
        </w:rPr>
      </w:pPr>
      <w:r w:rsidRPr="00D00DD0">
        <w:rPr>
          <w:rFonts w:asciiTheme="majorHAnsi" w:hAnsiTheme="majorHAnsi"/>
          <w:b/>
          <w:bCs/>
          <w:u w:val="single"/>
        </w:rPr>
        <w:lastRenderedPageBreak/>
        <w:t>The ‘Deep Dive’ process</w:t>
      </w:r>
    </w:p>
    <w:p w14:paraId="7B84A9EC" w14:textId="77777777" w:rsidR="007813F2" w:rsidRPr="00EE05AA" w:rsidRDefault="007813F2" w:rsidP="000414B2">
      <w:pPr>
        <w:pStyle w:val="ListParagraph"/>
        <w:spacing w:line="360" w:lineRule="auto"/>
        <w:ind w:left="360"/>
        <w:rPr>
          <w:rFonts w:asciiTheme="majorHAnsi" w:hAnsiTheme="majorHAnsi"/>
          <w:b/>
          <w:bCs/>
        </w:rPr>
      </w:pPr>
    </w:p>
    <w:p w14:paraId="481E181D" w14:textId="77777777" w:rsidR="00EE05AA" w:rsidRPr="00301C85" w:rsidRDefault="00EE05AA" w:rsidP="003A79C9">
      <w:pPr>
        <w:spacing w:line="360" w:lineRule="auto"/>
        <w:rPr>
          <w:rFonts w:asciiTheme="majorHAnsi" w:hAnsiTheme="majorHAnsi"/>
        </w:rPr>
      </w:pPr>
      <w:r w:rsidRPr="00301C85">
        <w:rPr>
          <w:rFonts w:asciiTheme="majorHAnsi" w:hAnsiTheme="majorHAnsi"/>
        </w:rPr>
        <w:t xml:space="preserve">Part of the research plan involved exploring case records for around 10-15 young men in order to learn more about their recorded journeys through and with services, but also in order to identify a range of young men to be involved in interviews with a mix of ages and personal experiences, and to seek to include those with ‘successes’ as well as those with ongoing challenges. A subsection of the research team </w:t>
      </w:r>
      <w:proofErr w:type="gramStart"/>
      <w:r w:rsidRPr="00301C85">
        <w:rPr>
          <w:rFonts w:asciiTheme="majorHAnsi" w:hAnsiTheme="majorHAnsi"/>
        </w:rPr>
        <w:t>were</w:t>
      </w:r>
      <w:proofErr w:type="gramEnd"/>
      <w:r w:rsidRPr="00301C85">
        <w:rPr>
          <w:rFonts w:asciiTheme="majorHAnsi" w:hAnsiTheme="majorHAnsi"/>
        </w:rPr>
        <w:t xml:space="preserve"> granted access to the live records within BHCC in an appropriately supervised and supported manner. We accessed the main database used by children’s services and also the database providing information regarding offending and sentencing outcomes. </w:t>
      </w:r>
    </w:p>
    <w:p w14:paraId="458FE14F" w14:textId="77777777" w:rsidR="00EE05AA" w:rsidRPr="00301C85" w:rsidRDefault="00EE05AA" w:rsidP="003A79C9">
      <w:pPr>
        <w:spacing w:line="360" w:lineRule="auto"/>
        <w:rPr>
          <w:rFonts w:asciiTheme="majorHAnsi" w:hAnsiTheme="majorHAnsi"/>
        </w:rPr>
      </w:pPr>
    </w:p>
    <w:p w14:paraId="3BC36632" w14:textId="02EA2178" w:rsidR="00EE05AA" w:rsidRPr="00301C85" w:rsidRDefault="4B41489B" w:rsidP="088F2921">
      <w:pPr>
        <w:spacing w:line="360" w:lineRule="auto"/>
        <w:rPr>
          <w:rFonts w:asciiTheme="majorHAnsi" w:hAnsiTheme="majorHAnsi"/>
        </w:rPr>
      </w:pPr>
      <w:r w:rsidRPr="00301C85">
        <w:rPr>
          <w:rFonts w:asciiTheme="majorHAnsi" w:hAnsiTheme="majorHAnsi"/>
        </w:rPr>
        <w:t xml:space="preserve">Early on </w:t>
      </w:r>
      <w:r w:rsidR="00EE05AA" w:rsidRPr="00301C85">
        <w:rPr>
          <w:rFonts w:asciiTheme="majorHAnsi" w:hAnsiTheme="majorHAnsi"/>
        </w:rPr>
        <w:t xml:space="preserve">in the process, we realised that to read the records for some of the young men whom had been identified </w:t>
      </w:r>
      <w:r w:rsidR="583807DC" w:rsidRPr="00301C85">
        <w:rPr>
          <w:rFonts w:asciiTheme="majorHAnsi" w:hAnsiTheme="majorHAnsi"/>
        </w:rPr>
        <w:t>from</w:t>
      </w:r>
      <w:r w:rsidR="00EE05AA" w:rsidRPr="00301C85">
        <w:rPr>
          <w:rFonts w:asciiTheme="majorHAnsi" w:hAnsiTheme="majorHAnsi"/>
        </w:rPr>
        <w:t xml:space="preserve"> the spreadsheet and in consultation with relevant senior managers as important to include, this was a very time intensive process as we needed to move around and between databases and because of the depth with which we were reading. Doing this only enabled around 5 records to be fully reviewed and considered in such depth and so the decision was taken to temporarily move to a more rapid reading of the records in order to use these as a filter for identifying the young men to be invited to attend interviews. Whilst this was completed before COVID19 impacted upon the ability to do any in person data collection, the more in-depth review is something that the researchers would be keen to return to if this would be appropriate and helpful as part of any further research project. This is because of the richness of the data held in those records and some of the reflections of the researchers when working through this process</w:t>
      </w:r>
      <w:r w:rsidR="31D18837" w:rsidRPr="00301C85">
        <w:rPr>
          <w:rFonts w:asciiTheme="majorHAnsi" w:hAnsiTheme="majorHAnsi"/>
        </w:rPr>
        <w:t>, and the potential learning for practice colleagues too in this area</w:t>
      </w:r>
    </w:p>
    <w:p w14:paraId="5234657A" w14:textId="77777777" w:rsidR="00EE05AA" w:rsidRPr="00301C85" w:rsidRDefault="00EE05AA" w:rsidP="003A79C9">
      <w:pPr>
        <w:spacing w:line="360" w:lineRule="auto"/>
        <w:rPr>
          <w:rFonts w:asciiTheme="majorHAnsi" w:hAnsiTheme="majorHAnsi"/>
        </w:rPr>
      </w:pPr>
    </w:p>
    <w:p w14:paraId="6A906AC6" w14:textId="638F8D88" w:rsidR="00301C85" w:rsidRPr="00301C85" w:rsidRDefault="00EE05AA" w:rsidP="003A79C9">
      <w:pPr>
        <w:spacing w:line="360" w:lineRule="auto"/>
        <w:rPr>
          <w:rFonts w:asciiTheme="majorHAnsi" w:hAnsiTheme="majorHAnsi"/>
        </w:rPr>
      </w:pPr>
      <w:r w:rsidRPr="00301C85">
        <w:rPr>
          <w:rFonts w:asciiTheme="majorHAnsi" w:hAnsiTheme="majorHAnsi"/>
        </w:rPr>
        <w:t xml:space="preserve">In addition to using the process to identify the sample of young men to invite to interviews via their key- or other named workers, albeit many of those declined to attend, there were several observations from the records that we were able to read in depth. It should perhaps be said too </w:t>
      </w:r>
      <w:r w:rsidRPr="00301C85">
        <w:rPr>
          <w:rFonts w:asciiTheme="majorHAnsi" w:hAnsiTheme="majorHAnsi"/>
        </w:rPr>
        <w:lastRenderedPageBreak/>
        <w:t xml:space="preserve">that many of these records predate the current structures and practices in place and so may not be representative of all current records. </w:t>
      </w:r>
    </w:p>
    <w:p w14:paraId="3BE3C4C6" w14:textId="15357C31" w:rsidR="003A79C9" w:rsidRPr="00301C85" w:rsidRDefault="003A79C9" w:rsidP="00301C85">
      <w:pPr>
        <w:spacing w:line="360" w:lineRule="auto"/>
        <w:rPr>
          <w:rFonts w:asciiTheme="majorHAnsi" w:eastAsia="Arial" w:hAnsiTheme="majorHAnsi"/>
        </w:rPr>
      </w:pPr>
    </w:p>
    <w:p w14:paraId="32C58D57" w14:textId="18A8769C" w:rsidR="00EE05AA" w:rsidRDefault="00EE05AA" w:rsidP="003A79C9">
      <w:pPr>
        <w:pStyle w:val="BodyText"/>
        <w:spacing w:line="360" w:lineRule="auto"/>
        <w:rPr>
          <w:rFonts w:asciiTheme="majorHAnsi" w:hAnsiTheme="majorHAnsi"/>
          <w:b/>
          <w:bCs/>
          <w:sz w:val="24"/>
          <w:szCs w:val="24"/>
        </w:rPr>
      </w:pPr>
      <w:r w:rsidRPr="00301C85">
        <w:rPr>
          <w:rFonts w:asciiTheme="majorHAnsi" w:hAnsiTheme="majorHAnsi"/>
          <w:b/>
          <w:bCs/>
          <w:sz w:val="24"/>
          <w:szCs w:val="24"/>
        </w:rPr>
        <w:t>Key themes and issues identified:</w:t>
      </w:r>
    </w:p>
    <w:p w14:paraId="11DAF9F1" w14:textId="77777777" w:rsidR="00301C85" w:rsidRPr="00301C85" w:rsidRDefault="00301C85" w:rsidP="003A79C9">
      <w:pPr>
        <w:pStyle w:val="BodyText"/>
        <w:spacing w:line="360" w:lineRule="auto"/>
        <w:rPr>
          <w:rFonts w:asciiTheme="majorHAnsi" w:hAnsiTheme="majorHAnsi"/>
          <w:b/>
          <w:bCs/>
          <w:sz w:val="24"/>
          <w:szCs w:val="24"/>
        </w:rPr>
      </w:pPr>
    </w:p>
    <w:p w14:paraId="1259740B" w14:textId="6CA0B051" w:rsidR="00EE05AA" w:rsidRDefault="00EE05AA" w:rsidP="00301C85">
      <w:pPr>
        <w:pStyle w:val="BodyText"/>
        <w:numPr>
          <w:ilvl w:val="0"/>
          <w:numId w:val="47"/>
        </w:numPr>
        <w:spacing w:line="360" w:lineRule="auto"/>
        <w:rPr>
          <w:rFonts w:asciiTheme="majorHAnsi" w:hAnsiTheme="majorHAnsi"/>
          <w:sz w:val="24"/>
          <w:szCs w:val="24"/>
        </w:rPr>
      </w:pPr>
      <w:r w:rsidRPr="00301C85">
        <w:rPr>
          <w:rFonts w:asciiTheme="majorHAnsi" w:hAnsiTheme="majorHAnsi"/>
          <w:sz w:val="24"/>
          <w:szCs w:val="24"/>
        </w:rPr>
        <w:t xml:space="preserve">The voices of the young men were notably absent from these records, with some rather concerning ways of describing family members and/or some young men </w:t>
      </w:r>
      <w:r w:rsidR="748E667B" w:rsidRPr="00301C85">
        <w:rPr>
          <w:rFonts w:asciiTheme="majorHAnsi" w:hAnsiTheme="majorHAnsi"/>
          <w:sz w:val="24"/>
          <w:szCs w:val="24"/>
        </w:rPr>
        <w:t xml:space="preserve">included </w:t>
      </w:r>
      <w:r w:rsidRPr="00301C85">
        <w:rPr>
          <w:rFonts w:asciiTheme="majorHAnsi" w:hAnsiTheme="majorHAnsi"/>
          <w:sz w:val="24"/>
          <w:szCs w:val="24"/>
        </w:rPr>
        <w:t xml:space="preserve">(‘good’, ‘easy’, </w:t>
      </w:r>
      <w:r w:rsidR="4FDD3A0C" w:rsidRPr="00301C85">
        <w:rPr>
          <w:rFonts w:asciiTheme="majorHAnsi" w:hAnsiTheme="majorHAnsi"/>
          <w:sz w:val="24"/>
          <w:szCs w:val="24"/>
        </w:rPr>
        <w:t xml:space="preserve">‘ineffectual’, </w:t>
      </w:r>
      <w:r w:rsidRPr="00301C85">
        <w:rPr>
          <w:rFonts w:asciiTheme="majorHAnsi" w:hAnsiTheme="majorHAnsi"/>
          <w:sz w:val="24"/>
          <w:szCs w:val="24"/>
        </w:rPr>
        <w:t xml:space="preserve">etc.) </w:t>
      </w:r>
      <w:r w:rsidR="5AA02451" w:rsidRPr="00301C85">
        <w:rPr>
          <w:rFonts w:asciiTheme="majorHAnsi" w:hAnsiTheme="majorHAnsi"/>
          <w:sz w:val="24"/>
          <w:szCs w:val="24"/>
        </w:rPr>
        <w:t>and whilst</w:t>
      </w:r>
      <w:r w:rsidRPr="00301C85">
        <w:rPr>
          <w:rFonts w:asciiTheme="majorHAnsi" w:hAnsiTheme="majorHAnsi"/>
          <w:sz w:val="24"/>
          <w:szCs w:val="24"/>
        </w:rPr>
        <w:t xml:space="preserve">– </w:t>
      </w:r>
      <w:r w:rsidR="5714B6D3" w:rsidRPr="00301C85">
        <w:rPr>
          <w:rFonts w:asciiTheme="majorHAnsi" w:hAnsiTheme="majorHAnsi"/>
          <w:sz w:val="24"/>
          <w:szCs w:val="24"/>
        </w:rPr>
        <w:t>these views</w:t>
      </w:r>
      <w:r w:rsidRPr="00301C85">
        <w:rPr>
          <w:rFonts w:asciiTheme="majorHAnsi" w:hAnsiTheme="majorHAnsi"/>
          <w:sz w:val="24"/>
          <w:szCs w:val="24"/>
        </w:rPr>
        <w:t xml:space="preserve"> may be held by practitioners</w:t>
      </w:r>
      <w:r w:rsidR="00301C85">
        <w:rPr>
          <w:rFonts w:asciiTheme="majorHAnsi" w:hAnsiTheme="majorHAnsi"/>
          <w:sz w:val="24"/>
          <w:szCs w:val="24"/>
        </w:rPr>
        <w:t>,</w:t>
      </w:r>
      <w:r w:rsidR="06D1D29E" w:rsidRPr="00301C85">
        <w:rPr>
          <w:rFonts w:asciiTheme="majorHAnsi" w:hAnsiTheme="majorHAnsi"/>
          <w:sz w:val="24"/>
          <w:szCs w:val="24"/>
        </w:rPr>
        <w:t xml:space="preserve"> this is not best practice with records that may be seen by young men and other </w:t>
      </w:r>
      <w:r w:rsidR="004545FF" w:rsidRPr="00301C85">
        <w:rPr>
          <w:rFonts w:asciiTheme="majorHAnsi" w:hAnsiTheme="majorHAnsi"/>
          <w:sz w:val="24"/>
          <w:szCs w:val="24"/>
        </w:rPr>
        <w:t>professionals</w:t>
      </w:r>
      <w:r w:rsidR="06D1D29E" w:rsidRPr="00301C85">
        <w:rPr>
          <w:rFonts w:asciiTheme="majorHAnsi" w:hAnsiTheme="majorHAnsi"/>
          <w:sz w:val="24"/>
          <w:szCs w:val="24"/>
        </w:rPr>
        <w:t xml:space="preserve"> too</w:t>
      </w:r>
      <w:r w:rsidR="3BFA32A6" w:rsidRPr="00301C85">
        <w:rPr>
          <w:rFonts w:asciiTheme="majorHAnsi" w:hAnsiTheme="majorHAnsi"/>
          <w:sz w:val="24"/>
          <w:szCs w:val="24"/>
        </w:rPr>
        <w:t xml:space="preserve"> of course</w:t>
      </w:r>
      <w:r w:rsidR="06D1D29E" w:rsidRPr="00301C85">
        <w:rPr>
          <w:rFonts w:asciiTheme="majorHAnsi" w:hAnsiTheme="majorHAnsi"/>
          <w:sz w:val="24"/>
          <w:szCs w:val="24"/>
        </w:rPr>
        <w:t>.</w:t>
      </w:r>
    </w:p>
    <w:p w14:paraId="51B42778" w14:textId="77777777" w:rsidR="00301C85" w:rsidRPr="00301C85" w:rsidRDefault="00301C85" w:rsidP="003A79C9">
      <w:pPr>
        <w:pStyle w:val="BodyText"/>
        <w:spacing w:line="360" w:lineRule="auto"/>
        <w:rPr>
          <w:rFonts w:asciiTheme="majorHAnsi" w:hAnsiTheme="majorHAnsi"/>
          <w:sz w:val="24"/>
          <w:szCs w:val="24"/>
        </w:rPr>
      </w:pPr>
    </w:p>
    <w:p w14:paraId="0CC57C93" w14:textId="73B4C72E" w:rsidR="00EE05AA" w:rsidRPr="00301C85" w:rsidRDefault="00EE05AA" w:rsidP="00301C85">
      <w:pPr>
        <w:pStyle w:val="BodyText"/>
        <w:numPr>
          <w:ilvl w:val="0"/>
          <w:numId w:val="47"/>
        </w:numPr>
        <w:spacing w:line="360" w:lineRule="auto"/>
        <w:rPr>
          <w:rFonts w:asciiTheme="majorHAnsi" w:hAnsiTheme="majorHAnsi"/>
          <w:sz w:val="24"/>
          <w:szCs w:val="24"/>
        </w:rPr>
      </w:pPr>
      <w:r w:rsidRPr="00301C85">
        <w:rPr>
          <w:rFonts w:asciiTheme="majorHAnsi" w:hAnsiTheme="majorHAnsi"/>
          <w:sz w:val="24"/>
          <w:szCs w:val="24"/>
        </w:rPr>
        <w:t xml:space="preserve">In respect of offending and offences, perhaps unsurprisingly given what we know about adolescent identity and offending, there was </w:t>
      </w:r>
      <w:r w:rsidR="0080697E">
        <w:rPr>
          <w:rFonts w:asciiTheme="majorHAnsi" w:hAnsiTheme="majorHAnsi"/>
          <w:sz w:val="24"/>
          <w:szCs w:val="24"/>
        </w:rPr>
        <w:t xml:space="preserve">apparent </w:t>
      </w:r>
      <w:r w:rsidRPr="00301C85">
        <w:rPr>
          <w:rFonts w:asciiTheme="majorHAnsi" w:hAnsiTheme="majorHAnsi"/>
          <w:sz w:val="24"/>
          <w:szCs w:val="24"/>
        </w:rPr>
        <w:t>evidence of escalation from lower</w:t>
      </w:r>
      <w:r w:rsidR="4F652E62" w:rsidRPr="00301C85">
        <w:rPr>
          <w:rFonts w:asciiTheme="majorHAnsi" w:hAnsiTheme="majorHAnsi"/>
          <w:sz w:val="24"/>
          <w:szCs w:val="24"/>
        </w:rPr>
        <w:t>-</w:t>
      </w:r>
      <w:r w:rsidRPr="00301C85">
        <w:rPr>
          <w:rFonts w:asciiTheme="majorHAnsi" w:hAnsiTheme="majorHAnsi"/>
          <w:sz w:val="24"/>
          <w:szCs w:val="24"/>
        </w:rPr>
        <w:t xml:space="preserve">level offending, </w:t>
      </w:r>
      <w:r w:rsidR="0080697E">
        <w:rPr>
          <w:rFonts w:asciiTheme="majorHAnsi" w:hAnsiTheme="majorHAnsi"/>
          <w:sz w:val="24"/>
          <w:szCs w:val="24"/>
        </w:rPr>
        <w:t xml:space="preserve">as is the case nationally, </w:t>
      </w:r>
      <w:r w:rsidRPr="00301C85">
        <w:rPr>
          <w:rFonts w:asciiTheme="majorHAnsi" w:hAnsiTheme="majorHAnsi"/>
          <w:sz w:val="24"/>
          <w:szCs w:val="24"/>
        </w:rPr>
        <w:t>through breaches of court orders to more serious offending and time spent in custody</w:t>
      </w:r>
      <w:r w:rsidR="0080697E">
        <w:rPr>
          <w:rFonts w:asciiTheme="majorHAnsi" w:hAnsiTheme="majorHAnsi"/>
          <w:sz w:val="24"/>
          <w:szCs w:val="24"/>
        </w:rPr>
        <w:t>, albeit affecting relatively few young men at the more serious end of the spectrum of court disposals</w:t>
      </w:r>
      <w:r w:rsidRPr="00301C85">
        <w:rPr>
          <w:rFonts w:asciiTheme="majorHAnsi" w:hAnsiTheme="majorHAnsi"/>
          <w:sz w:val="24"/>
          <w:szCs w:val="24"/>
        </w:rPr>
        <w:t xml:space="preserve">. </w:t>
      </w:r>
    </w:p>
    <w:p w14:paraId="0F48DE2F" w14:textId="77777777" w:rsidR="00EE05AA" w:rsidRPr="00301C85" w:rsidRDefault="00EE05AA" w:rsidP="00301C85">
      <w:pPr>
        <w:pStyle w:val="BodyText"/>
        <w:spacing w:line="360" w:lineRule="auto"/>
        <w:rPr>
          <w:rFonts w:asciiTheme="majorHAnsi" w:hAnsiTheme="majorHAnsi"/>
          <w:sz w:val="24"/>
          <w:szCs w:val="24"/>
        </w:rPr>
      </w:pPr>
    </w:p>
    <w:p w14:paraId="79806F30" w14:textId="0F4EABD8" w:rsidR="00EE05AA" w:rsidRPr="00301C85" w:rsidRDefault="00EE05AA" w:rsidP="00301C85">
      <w:pPr>
        <w:pStyle w:val="ListParagraph"/>
        <w:numPr>
          <w:ilvl w:val="0"/>
          <w:numId w:val="47"/>
        </w:numPr>
        <w:spacing w:line="360" w:lineRule="auto"/>
        <w:rPr>
          <w:rFonts w:asciiTheme="majorHAnsi" w:hAnsiTheme="majorHAnsi"/>
        </w:rPr>
      </w:pPr>
      <w:r w:rsidRPr="00301C85">
        <w:rPr>
          <w:rFonts w:asciiTheme="majorHAnsi" w:hAnsiTheme="majorHAnsi"/>
        </w:rPr>
        <w:t xml:space="preserve">Numerous foster care placement breakdowns and </w:t>
      </w:r>
      <w:r w:rsidR="569E3F0F" w:rsidRPr="00301C85">
        <w:rPr>
          <w:rFonts w:asciiTheme="majorHAnsi" w:hAnsiTheme="majorHAnsi"/>
        </w:rPr>
        <w:t>‘</w:t>
      </w:r>
      <w:r w:rsidRPr="00301C85">
        <w:rPr>
          <w:rFonts w:asciiTheme="majorHAnsi" w:hAnsiTheme="majorHAnsi"/>
        </w:rPr>
        <w:t xml:space="preserve">missing </w:t>
      </w:r>
      <w:proofErr w:type="gramStart"/>
      <w:r w:rsidRPr="00301C85">
        <w:rPr>
          <w:rFonts w:asciiTheme="majorHAnsi" w:hAnsiTheme="majorHAnsi"/>
        </w:rPr>
        <w:t>episodes</w:t>
      </w:r>
      <w:r w:rsidR="053D5C6C" w:rsidRPr="00301C85">
        <w:rPr>
          <w:rFonts w:asciiTheme="majorHAnsi" w:hAnsiTheme="majorHAnsi"/>
        </w:rPr>
        <w:t>’</w:t>
      </w:r>
      <w:proofErr w:type="gramEnd"/>
      <w:r w:rsidRPr="00301C85">
        <w:rPr>
          <w:rFonts w:asciiTheme="majorHAnsi" w:hAnsiTheme="majorHAnsi"/>
        </w:rPr>
        <w:t xml:space="preserve"> and disengagement from services were common</w:t>
      </w:r>
      <w:r w:rsidR="0F55CC38" w:rsidRPr="00301C85">
        <w:rPr>
          <w:rFonts w:asciiTheme="majorHAnsi" w:hAnsiTheme="majorHAnsi"/>
        </w:rPr>
        <w:t>,</w:t>
      </w:r>
      <w:r w:rsidR="57DF53AE" w:rsidRPr="00301C85">
        <w:rPr>
          <w:rFonts w:asciiTheme="majorHAnsi" w:hAnsiTheme="majorHAnsi"/>
        </w:rPr>
        <w:t xml:space="preserve"> ed and the detailed written </w:t>
      </w:r>
      <w:r w:rsidR="004545FF" w:rsidRPr="00301C85">
        <w:rPr>
          <w:rFonts w:asciiTheme="majorHAnsi" w:hAnsiTheme="majorHAnsi"/>
        </w:rPr>
        <w:t>records reviewed</w:t>
      </w:r>
      <w:r w:rsidRPr="00301C85">
        <w:rPr>
          <w:rFonts w:asciiTheme="majorHAnsi" w:hAnsiTheme="majorHAnsi"/>
        </w:rPr>
        <w:t xml:space="preserve"> suggested that the impact of trauma upon forming trusting relationships with professionals may not </w:t>
      </w:r>
      <w:r w:rsidR="7F19A00D" w:rsidRPr="00301C85">
        <w:rPr>
          <w:rFonts w:asciiTheme="majorHAnsi" w:hAnsiTheme="majorHAnsi"/>
        </w:rPr>
        <w:t xml:space="preserve">have </w:t>
      </w:r>
      <w:r w:rsidRPr="00301C85">
        <w:rPr>
          <w:rFonts w:asciiTheme="majorHAnsi" w:hAnsiTheme="majorHAnsi"/>
        </w:rPr>
        <w:t>be</w:t>
      </w:r>
      <w:r w:rsidR="07B71650" w:rsidRPr="00301C85">
        <w:rPr>
          <w:rFonts w:asciiTheme="majorHAnsi" w:hAnsiTheme="majorHAnsi"/>
        </w:rPr>
        <w:t>en</w:t>
      </w:r>
      <w:r w:rsidRPr="00301C85">
        <w:rPr>
          <w:rFonts w:asciiTheme="majorHAnsi" w:hAnsiTheme="majorHAnsi"/>
        </w:rPr>
        <w:t xml:space="preserve"> fully understood or considered</w:t>
      </w:r>
      <w:r w:rsidR="18EC54AA" w:rsidRPr="00301C85">
        <w:rPr>
          <w:rFonts w:asciiTheme="majorHAnsi" w:hAnsiTheme="majorHAnsi"/>
        </w:rPr>
        <w:t xml:space="preserve"> when such records are completed</w:t>
      </w:r>
      <w:r w:rsidRPr="00301C85">
        <w:rPr>
          <w:rFonts w:asciiTheme="majorHAnsi" w:hAnsiTheme="majorHAnsi"/>
        </w:rPr>
        <w:t>.</w:t>
      </w:r>
    </w:p>
    <w:p w14:paraId="4F367488" w14:textId="77777777" w:rsidR="00EE05AA" w:rsidRPr="00301C85" w:rsidRDefault="00EE05AA" w:rsidP="00301C85">
      <w:pPr>
        <w:pStyle w:val="ListParagraph"/>
        <w:spacing w:line="360" w:lineRule="auto"/>
        <w:ind w:left="360"/>
        <w:rPr>
          <w:rFonts w:asciiTheme="majorHAnsi" w:hAnsiTheme="majorHAnsi"/>
        </w:rPr>
      </w:pPr>
    </w:p>
    <w:p w14:paraId="7721550D" w14:textId="6B990A69" w:rsidR="00EE05AA" w:rsidRPr="00301C85" w:rsidRDefault="00EE05AA" w:rsidP="00301C85">
      <w:pPr>
        <w:pStyle w:val="ListParagraph"/>
        <w:numPr>
          <w:ilvl w:val="0"/>
          <w:numId w:val="47"/>
        </w:numPr>
        <w:spacing w:line="360" w:lineRule="auto"/>
        <w:rPr>
          <w:rFonts w:asciiTheme="majorHAnsi" w:hAnsiTheme="majorHAnsi"/>
        </w:rPr>
      </w:pPr>
      <w:r w:rsidRPr="00301C85">
        <w:rPr>
          <w:rFonts w:asciiTheme="majorHAnsi" w:hAnsiTheme="majorHAnsi"/>
        </w:rPr>
        <w:t>Significantly, for many of the young men for whom we were able to read their records in depth or even superficially, there was evidence that several were able to move on to obtain employment and/or parent children themselves with no current concerns known or recorded</w:t>
      </w:r>
      <w:r w:rsidR="00301C85" w:rsidRPr="00301C85">
        <w:rPr>
          <w:rFonts w:asciiTheme="majorHAnsi" w:hAnsiTheme="majorHAnsi"/>
        </w:rPr>
        <w:t>.</w:t>
      </w:r>
    </w:p>
    <w:p w14:paraId="54C8D725" w14:textId="77777777" w:rsidR="00EE05AA" w:rsidRPr="00301C85" w:rsidRDefault="00EE05AA" w:rsidP="00301C85">
      <w:pPr>
        <w:pStyle w:val="ListParagraph"/>
        <w:spacing w:line="360" w:lineRule="auto"/>
        <w:ind w:left="360"/>
        <w:rPr>
          <w:rFonts w:asciiTheme="majorHAnsi" w:hAnsiTheme="majorHAnsi"/>
        </w:rPr>
      </w:pPr>
    </w:p>
    <w:p w14:paraId="1D2D69F9" w14:textId="65F86392" w:rsidR="003A79C9" w:rsidRPr="00301C85" w:rsidRDefault="00EE05AA" w:rsidP="00301C85">
      <w:pPr>
        <w:pStyle w:val="ListParagraph"/>
        <w:numPr>
          <w:ilvl w:val="0"/>
          <w:numId w:val="47"/>
        </w:numPr>
        <w:spacing w:line="360" w:lineRule="auto"/>
        <w:rPr>
          <w:rFonts w:asciiTheme="majorHAnsi" w:hAnsiTheme="majorHAnsi"/>
        </w:rPr>
      </w:pPr>
      <w:r w:rsidRPr="00301C85">
        <w:rPr>
          <w:rFonts w:asciiTheme="majorHAnsi" w:hAnsiTheme="majorHAnsi"/>
        </w:rPr>
        <w:lastRenderedPageBreak/>
        <w:t>Researchers reported feelings of being overwhelmed and hopeless when reviewing multiple documents that did not speak to each other – not because of lack of skill or an inability to do the task, but because of the sense of what these records may miss and how the young men’s voices were largely absent. Language and acronyms used in recording led to a sense of a lack of identity.</w:t>
      </w:r>
    </w:p>
    <w:p w14:paraId="24E01482" w14:textId="377046E7" w:rsidR="005517B6" w:rsidRDefault="005517B6" w:rsidP="005517B6">
      <w:pPr>
        <w:pStyle w:val="ListParagraph"/>
        <w:rPr>
          <w:rFonts w:asciiTheme="majorHAnsi" w:hAnsiTheme="majorHAnsi"/>
        </w:rPr>
      </w:pPr>
    </w:p>
    <w:p w14:paraId="4F76B3A0" w14:textId="77777777" w:rsidR="0080697E" w:rsidRDefault="0080697E" w:rsidP="00301C85">
      <w:pPr>
        <w:pStyle w:val="BodyText"/>
        <w:spacing w:line="360" w:lineRule="auto"/>
        <w:rPr>
          <w:rFonts w:asciiTheme="majorHAnsi" w:hAnsiTheme="majorHAnsi"/>
          <w:sz w:val="22"/>
          <w:szCs w:val="22"/>
        </w:rPr>
      </w:pPr>
    </w:p>
    <w:p w14:paraId="16331FAC" w14:textId="77777777" w:rsidR="0080697E" w:rsidRPr="0080697E" w:rsidRDefault="0080697E" w:rsidP="0080697E">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80697E">
        <w:rPr>
          <w:rFonts w:asciiTheme="majorHAnsi" w:hAnsiTheme="majorHAnsi"/>
          <w:b/>
          <w:bCs/>
        </w:rPr>
        <w:t xml:space="preserve">Implications for practice and future research/evaluation: </w:t>
      </w:r>
    </w:p>
    <w:p w14:paraId="4252C1E8" w14:textId="77777777" w:rsidR="0080697E" w:rsidRDefault="0080697E"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r>
        <w:rPr>
          <w:rFonts w:asciiTheme="majorHAnsi" w:hAnsiTheme="majorHAnsi" w:cstheme="minorHAnsi"/>
        </w:rPr>
        <w:t xml:space="preserve">It may be helpful to consider how best to raise awareness with practitioners about the rationale for the different aspects of the recording system, especially those aspects identified as often having missing or inaccurate data entered. </w:t>
      </w:r>
    </w:p>
    <w:p w14:paraId="7BE5B280" w14:textId="77777777" w:rsidR="0080697E" w:rsidRDefault="0080697E"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35FDD4CF" w14:textId="77777777" w:rsidR="0080697E" w:rsidRPr="00E86D41" w:rsidRDefault="0080697E"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b/>
          <w:bCs/>
        </w:rPr>
      </w:pPr>
      <w:r>
        <w:rPr>
          <w:rFonts w:asciiTheme="majorHAnsi" w:hAnsiTheme="majorHAnsi" w:cstheme="minorHAnsi"/>
        </w:rPr>
        <w:t xml:space="preserve">It may be useful to further consider how the voices and direct experiences of young men can best be captured consistently within case records. </w:t>
      </w:r>
    </w:p>
    <w:p w14:paraId="1C350DB7" w14:textId="77777777" w:rsidR="00301C85" w:rsidRDefault="00301C85" w:rsidP="00301C85">
      <w:pPr>
        <w:pStyle w:val="BodyText"/>
        <w:spacing w:line="360" w:lineRule="auto"/>
        <w:rPr>
          <w:rFonts w:asciiTheme="majorHAnsi" w:hAnsiTheme="majorHAnsi"/>
          <w:sz w:val="22"/>
          <w:szCs w:val="22"/>
        </w:rPr>
      </w:pPr>
    </w:p>
    <w:p w14:paraId="799BB895" w14:textId="7AD92490" w:rsidR="00586352" w:rsidRDefault="00586352" w:rsidP="00301C85">
      <w:pPr>
        <w:rPr>
          <w:rFonts w:asciiTheme="majorHAnsi" w:hAnsiTheme="majorHAnsi" w:cstheme="minorHAnsi"/>
          <w:b/>
          <w:bCs/>
          <w:u w:val="single"/>
        </w:rPr>
      </w:pPr>
      <w:r>
        <w:rPr>
          <w:rFonts w:asciiTheme="majorHAnsi" w:hAnsiTheme="majorHAnsi" w:cstheme="minorHAnsi"/>
          <w:b/>
          <w:bCs/>
          <w:u w:val="single"/>
        </w:rPr>
        <w:br w:type="page"/>
      </w:r>
    </w:p>
    <w:p w14:paraId="4527D1EC" w14:textId="13E0747A" w:rsidR="006C15DA" w:rsidRPr="00301C85" w:rsidRDefault="006C15DA" w:rsidP="00586352">
      <w:pPr>
        <w:pStyle w:val="ListParagraph"/>
        <w:numPr>
          <w:ilvl w:val="0"/>
          <w:numId w:val="23"/>
        </w:numPr>
        <w:spacing w:line="360" w:lineRule="auto"/>
        <w:rPr>
          <w:rFonts w:asciiTheme="majorHAnsi" w:hAnsiTheme="majorHAnsi" w:cstheme="minorHAnsi"/>
          <w:b/>
          <w:bCs/>
          <w:u w:val="single"/>
        </w:rPr>
      </w:pPr>
      <w:r w:rsidRPr="00301C85">
        <w:rPr>
          <w:rFonts w:asciiTheme="majorHAnsi" w:hAnsiTheme="majorHAnsi" w:cstheme="minorHAnsi"/>
          <w:b/>
          <w:bCs/>
          <w:u w:val="single"/>
        </w:rPr>
        <w:lastRenderedPageBreak/>
        <w:t>Themes and analysis of interview data</w:t>
      </w:r>
    </w:p>
    <w:p w14:paraId="46E4D01B" w14:textId="77777777" w:rsidR="006C15DA" w:rsidRPr="00EE05AA" w:rsidRDefault="006C15DA" w:rsidP="006C15DA">
      <w:pPr>
        <w:spacing w:line="360" w:lineRule="auto"/>
        <w:rPr>
          <w:rFonts w:asciiTheme="majorHAnsi" w:hAnsiTheme="majorHAnsi" w:cstheme="minorHAnsi"/>
          <w:b/>
          <w:bCs/>
        </w:rPr>
      </w:pPr>
    </w:p>
    <w:p w14:paraId="531072CD" w14:textId="62689D2F" w:rsidR="006C15DA" w:rsidRPr="00EE05AA" w:rsidRDefault="00E86D41" w:rsidP="006C15DA">
      <w:pPr>
        <w:spacing w:line="360" w:lineRule="auto"/>
        <w:rPr>
          <w:rFonts w:asciiTheme="majorHAnsi" w:hAnsiTheme="majorHAnsi" w:cstheme="minorHAnsi"/>
          <w:b/>
          <w:bCs/>
        </w:rPr>
      </w:pPr>
      <w:r>
        <w:rPr>
          <w:rFonts w:asciiTheme="majorHAnsi" w:hAnsiTheme="majorHAnsi" w:cstheme="minorHAnsi"/>
          <w:b/>
          <w:bCs/>
        </w:rPr>
        <w:t>5</w:t>
      </w:r>
      <w:r w:rsidR="009F44E7">
        <w:rPr>
          <w:rFonts w:asciiTheme="majorHAnsi" w:hAnsiTheme="majorHAnsi" w:cstheme="minorHAnsi"/>
          <w:b/>
          <w:bCs/>
        </w:rPr>
        <w:t>.1</w:t>
      </w:r>
      <w:r>
        <w:rPr>
          <w:rFonts w:asciiTheme="majorHAnsi" w:hAnsiTheme="majorHAnsi" w:cstheme="minorHAnsi"/>
          <w:b/>
          <w:bCs/>
        </w:rPr>
        <w:t xml:space="preserve"> </w:t>
      </w:r>
      <w:r w:rsidR="007124DA">
        <w:rPr>
          <w:rFonts w:asciiTheme="majorHAnsi" w:hAnsiTheme="majorHAnsi" w:cstheme="minorHAnsi"/>
          <w:b/>
          <w:bCs/>
        </w:rPr>
        <w:t xml:space="preserve"> </w:t>
      </w:r>
      <w:r w:rsidR="009F44E7">
        <w:rPr>
          <w:rFonts w:asciiTheme="majorHAnsi" w:hAnsiTheme="majorHAnsi" w:cstheme="minorHAnsi"/>
          <w:b/>
          <w:bCs/>
        </w:rPr>
        <w:t xml:space="preserve"> </w:t>
      </w:r>
      <w:r w:rsidR="006C15DA" w:rsidRPr="00EE05AA">
        <w:rPr>
          <w:rFonts w:asciiTheme="majorHAnsi" w:hAnsiTheme="majorHAnsi" w:cstheme="minorHAnsi"/>
          <w:b/>
          <w:bCs/>
        </w:rPr>
        <w:t>Brighton and Hove context</w:t>
      </w:r>
    </w:p>
    <w:p w14:paraId="3910F7E4" w14:textId="77777777" w:rsidR="006C15DA" w:rsidRPr="00EE05AA" w:rsidRDefault="006C15DA" w:rsidP="006C15DA">
      <w:pPr>
        <w:spacing w:line="360" w:lineRule="auto"/>
        <w:contextualSpacing/>
        <w:rPr>
          <w:rFonts w:asciiTheme="majorHAnsi" w:hAnsiTheme="majorHAnsi" w:cstheme="minorHAnsi"/>
          <w:b/>
          <w:bCs/>
        </w:rPr>
      </w:pPr>
    </w:p>
    <w:p w14:paraId="5B02C25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Key Issues</w:t>
      </w:r>
    </w:p>
    <w:p w14:paraId="13E7502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bCs/>
          <w:i/>
        </w:rPr>
      </w:pPr>
      <w:r w:rsidRPr="00EE05AA">
        <w:rPr>
          <w:rFonts w:asciiTheme="majorHAnsi" w:hAnsiTheme="majorHAnsi" w:cstheme="minorHAnsi"/>
          <w:bCs/>
          <w:i/>
        </w:rPr>
        <w:t>Safe and Unsafe places</w:t>
      </w:r>
    </w:p>
    <w:p w14:paraId="2BFA2D33"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Within one city and surrounding areas, there are places that are perceived as being more or less accessible and safe for young men based upon prior associations and reputation. This may have a significant impact upon engagement with services.</w:t>
      </w:r>
    </w:p>
    <w:p w14:paraId="37A4D93E"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4A2EDF96"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bCs/>
          <w:i/>
        </w:rPr>
      </w:pPr>
      <w:r w:rsidRPr="00EE05AA">
        <w:rPr>
          <w:rFonts w:asciiTheme="majorHAnsi" w:hAnsiTheme="majorHAnsi" w:cstheme="minorHAnsi"/>
          <w:bCs/>
          <w:i/>
        </w:rPr>
        <w:t>Known and less known aspects of the local area</w:t>
      </w:r>
    </w:p>
    <w:p w14:paraId="034462F3"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The ‘public’ and more hidden aspects of place are all relevant and impact upon the ways in which young men engage with each other, the local and the transient parts of the population and with local services.</w:t>
      </w:r>
    </w:p>
    <w:p w14:paraId="7194B58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7103FCAA"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bCs/>
          <w:i/>
        </w:rPr>
      </w:pPr>
      <w:r w:rsidRPr="00EE05AA">
        <w:rPr>
          <w:rFonts w:asciiTheme="majorHAnsi" w:hAnsiTheme="majorHAnsi" w:cstheme="minorHAnsi"/>
          <w:bCs/>
          <w:i/>
        </w:rPr>
        <w:t>Transient nature of the population</w:t>
      </w:r>
    </w:p>
    <w:p w14:paraId="4100FEC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Brighton and Hove as a city has a high proportion of students within the resident population, but also its reputation as a ‘party city’ attracts large numbers of people who are visiting rather than resident. </w:t>
      </w:r>
    </w:p>
    <w:p w14:paraId="5E3A8C87" w14:textId="77777777" w:rsidR="006C15DA" w:rsidRPr="00EE05AA" w:rsidRDefault="006C15DA" w:rsidP="006C15DA">
      <w:pPr>
        <w:spacing w:line="360" w:lineRule="auto"/>
        <w:contextualSpacing/>
        <w:rPr>
          <w:rFonts w:asciiTheme="majorHAnsi" w:hAnsiTheme="majorHAnsi" w:cstheme="minorHAnsi"/>
        </w:rPr>
      </w:pPr>
    </w:p>
    <w:p w14:paraId="072E0365" w14:textId="67E73C35" w:rsidR="006C15DA" w:rsidRPr="00301C85" w:rsidRDefault="006C15DA" w:rsidP="088F2921">
      <w:pPr>
        <w:pStyle w:val="ListParagraph"/>
        <w:spacing w:line="360" w:lineRule="auto"/>
        <w:ind w:left="0"/>
        <w:rPr>
          <w:rFonts w:asciiTheme="majorHAnsi" w:hAnsiTheme="majorHAnsi" w:cstheme="minorBidi"/>
        </w:rPr>
      </w:pPr>
      <w:r w:rsidRPr="00301C85">
        <w:rPr>
          <w:rFonts w:asciiTheme="majorHAnsi" w:hAnsiTheme="majorHAnsi" w:cstheme="minorBidi"/>
        </w:rPr>
        <w:t xml:space="preserve">The particular nature of the local context, both geographically, historically and perhaps culturally, had led to hypotheses even before this work was commissioned, regarding the likely impact of these upon the experiences of young men within the city. Comparative data on demographic, socio-economic and other factors are included in the appendices to this report and are referred to within the discussions where relevant. In the introductory section of this report, we also summarised the data from within BHCC databases regarding young men known </w:t>
      </w:r>
      <w:r w:rsidRPr="00301C85">
        <w:rPr>
          <w:rFonts w:asciiTheme="majorHAnsi" w:hAnsiTheme="majorHAnsi" w:cstheme="minorBidi"/>
        </w:rPr>
        <w:lastRenderedPageBreak/>
        <w:t xml:space="preserve">to the children and families’ services. The current section of the report builds upon some of the themes </w:t>
      </w:r>
      <w:r w:rsidR="62ECA3C4" w:rsidRPr="00301C85">
        <w:rPr>
          <w:rFonts w:asciiTheme="majorHAnsi" w:hAnsiTheme="majorHAnsi" w:cstheme="minorBidi"/>
        </w:rPr>
        <w:t xml:space="preserve">arising </w:t>
      </w:r>
      <w:r w:rsidRPr="00301C85">
        <w:rPr>
          <w:rFonts w:asciiTheme="majorHAnsi" w:hAnsiTheme="majorHAnsi" w:cstheme="minorBidi"/>
        </w:rPr>
        <w:t xml:space="preserve">in those previous sections too.  </w:t>
      </w:r>
    </w:p>
    <w:p w14:paraId="0B44DFD5" w14:textId="77777777" w:rsidR="006C15DA" w:rsidRPr="00301C85" w:rsidRDefault="006C15DA" w:rsidP="006C15DA">
      <w:pPr>
        <w:pStyle w:val="ListParagraph"/>
        <w:spacing w:line="360" w:lineRule="auto"/>
        <w:ind w:left="0"/>
        <w:rPr>
          <w:rFonts w:asciiTheme="majorHAnsi" w:hAnsiTheme="majorHAnsi" w:cstheme="minorHAnsi"/>
        </w:rPr>
      </w:pPr>
    </w:p>
    <w:p w14:paraId="6C4BB350" w14:textId="0BAD970B" w:rsidR="006C15DA" w:rsidRPr="00301C85" w:rsidRDefault="006C15DA" w:rsidP="260A14CD">
      <w:pPr>
        <w:pStyle w:val="ListParagraph"/>
        <w:spacing w:line="360" w:lineRule="auto"/>
        <w:ind w:left="0"/>
        <w:rPr>
          <w:rFonts w:asciiTheme="majorHAnsi" w:hAnsiTheme="majorHAnsi" w:cstheme="minorBidi"/>
        </w:rPr>
      </w:pPr>
      <w:r w:rsidRPr="00301C85">
        <w:rPr>
          <w:rFonts w:asciiTheme="majorHAnsi" w:hAnsiTheme="majorHAnsi" w:cstheme="minorBidi"/>
        </w:rPr>
        <w:t xml:space="preserve">Perhaps unsurprisingly, many interview participants shared observations about the nature of Brighton and Hove </w:t>
      </w:r>
      <w:r w:rsidR="6B8B98C9" w:rsidRPr="00301C85">
        <w:rPr>
          <w:rFonts w:asciiTheme="majorHAnsi" w:hAnsiTheme="majorHAnsi" w:cstheme="minorBidi"/>
        </w:rPr>
        <w:t xml:space="preserve">as a location </w:t>
      </w:r>
      <w:r w:rsidRPr="00301C85">
        <w:rPr>
          <w:rFonts w:asciiTheme="majorHAnsi" w:hAnsiTheme="majorHAnsi" w:cstheme="minorBidi"/>
        </w:rPr>
        <w:t>and insights into what it might be like for young men growing up and developing</w:t>
      </w:r>
      <w:r w:rsidRPr="260A14CD">
        <w:rPr>
          <w:rFonts w:asciiTheme="majorHAnsi" w:hAnsiTheme="majorHAnsi" w:cstheme="minorBidi"/>
        </w:rPr>
        <w:t xml:space="preserve"> </w:t>
      </w:r>
      <w:r w:rsidRPr="00301C85">
        <w:rPr>
          <w:rFonts w:asciiTheme="majorHAnsi" w:hAnsiTheme="majorHAnsi" w:cstheme="minorBidi"/>
        </w:rPr>
        <w:t xml:space="preserve">their senses of self, belonging and connectedness, or indeed the lack of these. References were made frequently to the city being a ‘party scene’ and being very different to other local coastal towns in demographics and ‘feel’. Those interviewed made references to an economic divide within a context in which Brighton and Hove as a party city is associated with wealth and disposable income, a place where others come to enjoy – often to excess – physical and other resources locally, whilst many residents are excluded from such experiences as a result of fewer affordable safe accommodation options and relatively few meaningful employment opportunities. </w:t>
      </w:r>
    </w:p>
    <w:p w14:paraId="1DB53E93" w14:textId="77777777" w:rsidR="007813F2" w:rsidRPr="00301C85" w:rsidRDefault="007813F2" w:rsidP="006C15DA">
      <w:pPr>
        <w:pStyle w:val="ListParagraph"/>
        <w:spacing w:line="360" w:lineRule="auto"/>
        <w:ind w:left="0"/>
        <w:rPr>
          <w:rFonts w:asciiTheme="majorHAnsi" w:hAnsiTheme="majorHAnsi" w:cstheme="minorHAnsi"/>
          <w:b/>
          <w:bCs/>
        </w:rPr>
      </w:pPr>
    </w:p>
    <w:p w14:paraId="1B30B16D" w14:textId="5907006B" w:rsidR="006C15DA" w:rsidRPr="00301C85" w:rsidRDefault="00E86D41" w:rsidP="006C15DA">
      <w:pPr>
        <w:pStyle w:val="ListParagraph"/>
        <w:spacing w:line="360" w:lineRule="auto"/>
        <w:ind w:left="0"/>
        <w:rPr>
          <w:rFonts w:asciiTheme="majorHAnsi" w:hAnsiTheme="majorHAnsi" w:cstheme="minorHAnsi"/>
          <w:bCs/>
          <w:i/>
          <w:iCs/>
        </w:rPr>
      </w:pPr>
      <w:r w:rsidRPr="00301C85">
        <w:rPr>
          <w:rFonts w:asciiTheme="majorHAnsi" w:hAnsiTheme="majorHAnsi" w:cstheme="minorHAnsi"/>
          <w:bCs/>
          <w:i/>
          <w:iCs/>
        </w:rPr>
        <w:t xml:space="preserve">5.1.1 </w:t>
      </w:r>
      <w:r w:rsidR="006C15DA" w:rsidRPr="00301C85">
        <w:rPr>
          <w:rFonts w:asciiTheme="majorHAnsi" w:hAnsiTheme="majorHAnsi" w:cstheme="minorHAnsi"/>
          <w:bCs/>
          <w:i/>
          <w:iCs/>
        </w:rPr>
        <w:t>Safe and unsafe places</w:t>
      </w:r>
    </w:p>
    <w:p w14:paraId="36135BFE" w14:textId="600657C2" w:rsidR="006C15DA" w:rsidRPr="00301C85" w:rsidRDefault="006C15DA" w:rsidP="260A14CD">
      <w:pPr>
        <w:pStyle w:val="ListParagraph"/>
        <w:spacing w:line="360" w:lineRule="auto"/>
        <w:ind w:left="0"/>
        <w:rPr>
          <w:rFonts w:asciiTheme="majorHAnsi" w:hAnsiTheme="majorHAnsi" w:cstheme="minorBidi"/>
        </w:rPr>
      </w:pPr>
      <w:r w:rsidRPr="00301C85">
        <w:rPr>
          <w:rFonts w:asciiTheme="majorHAnsi" w:hAnsiTheme="majorHAnsi" w:cstheme="minorBidi"/>
        </w:rPr>
        <w:t>From the very earliest days of this project, it was apparent from conversations with the young men involved in the reference group</w:t>
      </w:r>
      <w:r w:rsidR="30406B2E" w:rsidRPr="00301C85">
        <w:rPr>
          <w:rFonts w:asciiTheme="majorHAnsi" w:hAnsiTheme="majorHAnsi" w:cstheme="minorBidi"/>
        </w:rPr>
        <w:t xml:space="preserve"> in which participating young men helped design interview schedules</w:t>
      </w:r>
      <w:r w:rsidRPr="00301C85">
        <w:rPr>
          <w:rFonts w:asciiTheme="majorHAnsi" w:hAnsiTheme="majorHAnsi" w:cstheme="minorBidi"/>
        </w:rPr>
        <w:t>, that even within the local area, there were some clearly identified safe and less safe areas, as well as issues to consider regarding where services were located. Concerns regarding the geographic location of services were related to associations young men made with particular areas, such as proximity to other services, the perceived likelihood of ‘bumping into’</w:t>
      </w:r>
      <w:r w:rsidR="00F372A2" w:rsidRPr="00301C85">
        <w:rPr>
          <w:rStyle w:val="FootnoteReference"/>
          <w:rFonts w:asciiTheme="majorHAnsi" w:hAnsiTheme="majorHAnsi" w:cstheme="minorHAnsi"/>
        </w:rPr>
        <w:footnoteReference w:id="5"/>
      </w:r>
      <w:r w:rsidRPr="00301C85">
        <w:rPr>
          <w:rFonts w:asciiTheme="majorHAnsi" w:hAnsiTheme="majorHAnsi" w:cstheme="minorBidi"/>
        </w:rPr>
        <w:t xml:space="preserve"> other practitioners</w:t>
      </w:r>
      <w:r w:rsidRPr="00301C85">
        <w:rPr>
          <w:rStyle w:val="FootnoteReference"/>
          <w:rFonts w:asciiTheme="majorHAnsi" w:hAnsiTheme="majorHAnsi" w:cstheme="minorBidi"/>
        </w:rPr>
        <w:footnoteReference w:id="6"/>
      </w:r>
      <w:r w:rsidRPr="00301C85">
        <w:rPr>
          <w:rFonts w:asciiTheme="majorHAnsi" w:hAnsiTheme="majorHAnsi" w:cstheme="minorBidi"/>
        </w:rPr>
        <w:t xml:space="preserve"> – such as YOS workers – or indeed other young people, and proximity to places of previous or current offending behaviour, such as near to the major shopping areas. </w:t>
      </w:r>
      <w:r w:rsidR="00DF412F" w:rsidRPr="00301C85">
        <w:rPr>
          <w:rFonts w:asciiTheme="majorHAnsi" w:hAnsiTheme="majorHAnsi" w:cstheme="minorBidi"/>
        </w:rPr>
        <w:lastRenderedPageBreak/>
        <w:t xml:space="preserve">Whilst the co-location of services may be considered </w:t>
      </w:r>
      <w:r w:rsidR="48555EB6" w:rsidRPr="00301C85">
        <w:rPr>
          <w:rFonts w:asciiTheme="majorHAnsi" w:hAnsiTheme="majorHAnsi" w:cstheme="minorBidi"/>
        </w:rPr>
        <w:t>as one way to</w:t>
      </w:r>
      <w:r w:rsidR="00DF412F" w:rsidRPr="00301C85">
        <w:rPr>
          <w:rFonts w:asciiTheme="majorHAnsi" w:hAnsiTheme="majorHAnsi" w:cstheme="minorBidi"/>
        </w:rPr>
        <w:t xml:space="preserve"> promote integration and reduce potential for fragmentation, the concerns that the young men raised exist despite this rationale and highlight some perhaps unintended consequences. Co-location of services may assist staff to work together across and between services, but the experience of the young men interviewed suggests that their own experiences were not always so positive</w:t>
      </w:r>
      <w:r w:rsidR="6A72E8AD" w:rsidRPr="00301C85">
        <w:rPr>
          <w:rFonts w:asciiTheme="majorHAnsi" w:hAnsiTheme="majorHAnsi" w:cstheme="minorBidi"/>
        </w:rPr>
        <w:t xml:space="preserve">; an example of unintended negative impact from a deliberate development.  </w:t>
      </w:r>
      <w:r w:rsidR="00DF412F" w:rsidRPr="00301C85">
        <w:rPr>
          <w:rFonts w:asciiTheme="majorHAnsi" w:hAnsiTheme="majorHAnsi" w:cstheme="minorBidi"/>
        </w:rPr>
        <w:t xml:space="preserve"> </w:t>
      </w:r>
      <w:r w:rsidRPr="00301C85">
        <w:rPr>
          <w:rFonts w:asciiTheme="majorHAnsi" w:hAnsiTheme="majorHAnsi" w:cstheme="minorBidi"/>
        </w:rPr>
        <w:t>Some identified the proximity to ‘rival turf’ as a barrier to engagement too. In addition, some young men interviewed referred to the importance of physical accessibility and the ease of getting to a service:</w:t>
      </w:r>
    </w:p>
    <w:p w14:paraId="1FBCFE5C" w14:textId="77777777" w:rsidR="006C15DA" w:rsidRPr="00301C85" w:rsidRDefault="006C15DA" w:rsidP="006C15DA">
      <w:pPr>
        <w:pStyle w:val="ListParagraph"/>
        <w:spacing w:line="360" w:lineRule="auto"/>
        <w:ind w:left="0"/>
        <w:rPr>
          <w:rFonts w:asciiTheme="majorHAnsi" w:hAnsiTheme="majorHAnsi" w:cstheme="minorHAnsi"/>
        </w:rPr>
      </w:pPr>
    </w:p>
    <w:p w14:paraId="3076D628"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I was like a </w:t>
      </w:r>
      <w:proofErr w:type="gramStart"/>
      <w:r w:rsidRPr="00EE05AA">
        <w:rPr>
          <w:rFonts w:asciiTheme="majorHAnsi" w:hAnsiTheme="majorHAnsi" w:cstheme="minorHAnsi"/>
          <w:i/>
          <w:iCs/>
        </w:rPr>
        <w:t>five minute</w:t>
      </w:r>
      <w:proofErr w:type="gramEnd"/>
      <w:r w:rsidRPr="00EE05AA">
        <w:rPr>
          <w:rFonts w:asciiTheme="majorHAnsi" w:hAnsiTheme="majorHAnsi" w:cstheme="minorHAnsi"/>
          <w:i/>
          <w:iCs/>
        </w:rPr>
        <w:t xml:space="preserve"> walk from the Youth Centre. </w:t>
      </w:r>
      <w:proofErr w:type="gramStart"/>
      <w:r w:rsidRPr="00EE05AA">
        <w:rPr>
          <w:rFonts w:asciiTheme="majorHAnsi" w:hAnsiTheme="majorHAnsi" w:cstheme="minorHAnsi"/>
          <w:i/>
          <w:iCs/>
        </w:rPr>
        <w:t>So</w:t>
      </w:r>
      <w:proofErr w:type="gramEnd"/>
      <w:r w:rsidRPr="00EE05AA">
        <w:rPr>
          <w:rFonts w:asciiTheme="majorHAnsi" w:hAnsiTheme="majorHAnsi" w:cstheme="minorHAnsi"/>
          <w:i/>
          <w:iCs/>
        </w:rPr>
        <w:t xml:space="preserve"> I think that helped, because, you know, these things like the form of way of getting there […matter].</w:t>
      </w:r>
    </w:p>
    <w:p w14:paraId="5A0281FD" w14:textId="77777777" w:rsidR="006C15DA" w:rsidRPr="00EE05AA" w:rsidRDefault="006C15DA" w:rsidP="006C15DA">
      <w:pPr>
        <w:spacing w:line="360" w:lineRule="auto"/>
        <w:ind w:left="720"/>
        <w:contextualSpacing/>
        <w:rPr>
          <w:rFonts w:asciiTheme="majorHAnsi" w:hAnsiTheme="majorHAnsi" w:cstheme="minorHAnsi"/>
          <w:i/>
          <w:iCs/>
        </w:rPr>
      </w:pPr>
    </w:p>
    <w:p w14:paraId="2D41AF5D"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Whether services are known about, and who promotes them, are factors that are considerations in many contexts, and this was the case here, in relation to how young men heard about and accessed services, with some young men referring to family connections that enabled them to know about and trust particular services, and others referring to the visibility of services:</w:t>
      </w:r>
    </w:p>
    <w:p w14:paraId="4BF13E34" w14:textId="77777777" w:rsidR="006C15DA" w:rsidRPr="00EE05AA" w:rsidRDefault="006C15DA" w:rsidP="006C15DA">
      <w:pPr>
        <w:spacing w:line="360" w:lineRule="auto"/>
        <w:ind w:firstLine="720"/>
        <w:contextualSpacing/>
        <w:rPr>
          <w:rFonts w:asciiTheme="majorHAnsi" w:hAnsiTheme="majorHAnsi" w:cstheme="minorHAnsi"/>
        </w:rPr>
      </w:pPr>
    </w:p>
    <w:p w14:paraId="00EC2C4F"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There’s always a way, so like there’s always flyers all around Brighton, I don’t know if you’ve seen them, they’re like promoting youth services to people and the school does promote them, so it’s like very helpful because there’s a lot of different ways to connect and contact with people if you need it.</w:t>
      </w:r>
    </w:p>
    <w:p w14:paraId="7F6C76E3" w14:textId="77777777" w:rsidR="006C15DA" w:rsidRPr="00EE05AA" w:rsidRDefault="006C15DA" w:rsidP="006C15DA">
      <w:pPr>
        <w:pStyle w:val="ListParagraph"/>
        <w:spacing w:line="360" w:lineRule="auto"/>
        <w:ind w:left="0"/>
        <w:rPr>
          <w:rFonts w:asciiTheme="majorHAnsi" w:hAnsiTheme="majorHAnsi" w:cstheme="minorHAnsi"/>
          <w:b/>
          <w:bCs/>
        </w:rPr>
      </w:pPr>
    </w:p>
    <w:p w14:paraId="7F19D866"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Whilst several of those interviewed identified the wide range of services available to young men in the city as a strength of existing provision, the pressure upon some services, especially CAMHS, and the inability of many young men to access this provision was also identified as being key (see Mental health and substance use). </w:t>
      </w:r>
    </w:p>
    <w:p w14:paraId="1D8FC90D" w14:textId="77777777" w:rsidR="006C15DA" w:rsidRPr="00EE05AA" w:rsidRDefault="006C15DA" w:rsidP="006C15DA">
      <w:pPr>
        <w:spacing w:line="360" w:lineRule="auto"/>
        <w:contextualSpacing/>
        <w:rPr>
          <w:rFonts w:asciiTheme="majorHAnsi" w:hAnsiTheme="majorHAnsi" w:cstheme="minorHAnsi"/>
        </w:rPr>
      </w:pPr>
    </w:p>
    <w:p w14:paraId="3020C546" w14:textId="72565CA2" w:rsidR="006C15DA" w:rsidRPr="00301C85" w:rsidRDefault="00E86D41" w:rsidP="006C15DA">
      <w:pPr>
        <w:pStyle w:val="ListParagraph"/>
        <w:spacing w:line="360" w:lineRule="auto"/>
        <w:ind w:left="0"/>
        <w:rPr>
          <w:rFonts w:asciiTheme="majorHAnsi" w:hAnsiTheme="majorHAnsi" w:cstheme="minorHAnsi"/>
          <w:bCs/>
          <w:i/>
          <w:iCs/>
        </w:rPr>
      </w:pPr>
      <w:r w:rsidRPr="00301C85">
        <w:rPr>
          <w:rFonts w:asciiTheme="majorHAnsi" w:hAnsiTheme="majorHAnsi" w:cstheme="minorHAnsi"/>
          <w:bCs/>
          <w:i/>
          <w:iCs/>
        </w:rPr>
        <w:t xml:space="preserve">5.5.2 </w:t>
      </w:r>
      <w:r w:rsidR="006C15DA" w:rsidRPr="00301C85">
        <w:rPr>
          <w:rFonts w:asciiTheme="majorHAnsi" w:hAnsiTheme="majorHAnsi" w:cstheme="minorHAnsi"/>
          <w:bCs/>
          <w:i/>
          <w:iCs/>
        </w:rPr>
        <w:t xml:space="preserve">Knowing, not-knowing, belonging and not belonging </w:t>
      </w:r>
    </w:p>
    <w:p w14:paraId="743CE831" w14:textId="77777777" w:rsidR="006C15DA" w:rsidRPr="00301C85" w:rsidRDefault="006C15DA" w:rsidP="006C15DA">
      <w:pPr>
        <w:pStyle w:val="ListParagraph"/>
        <w:spacing w:line="360" w:lineRule="auto"/>
        <w:ind w:left="0"/>
        <w:rPr>
          <w:rFonts w:asciiTheme="majorHAnsi" w:hAnsiTheme="majorHAnsi" w:cstheme="minorHAnsi"/>
        </w:rPr>
      </w:pPr>
      <w:r w:rsidRPr="00301C85">
        <w:rPr>
          <w:rFonts w:asciiTheme="majorHAnsi" w:hAnsiTheme="majorHAnsi" w:cstheme="minorHAnsi"/>
        </w:rPr>
        <w:t>Young men and practitioners identified the multi-faceted nature of the local area, with some elements being less known than others, the sense that there is a public and more hidden side to the city, and also a sense of differing levels of connectedness between young men and their own areas within the local area, and even different levels of familiarity with the city as a whole, rather than their own ‘patch’:</w:t>
      </w:r>
    </w:p>
    <w:p w14:paraId="5FA490DE" w14:textId="77777777" w:rsidR="006C15DA" w:rsidRPr="00EE05AA" w:rsidRDefault="006C15DA" w:rsidP="006C15DA">
      <w:pPr>
        <w:spacing w:line="360" w:lineRule="auto"/>
        <w:ind w:left="360"/>
        <w:contextualSpacing/>
        <w:rPr>
          <w:rFonts w:asciiTheme="majorHAnsi" w:hAnsiTheme="majorHAnsi" w:cstheme="minorHAnsi"/>
          <w:i/>
          <w:iCs/>
        </w:rPr>
      </w:pPr>
    </w:p>
    <w:p w14:paraId="4756723C" w14:textId="738E68AF"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[Practitioner] They will give the impression if you talk to them, you know, “I don’t get on with anyone from Southwick, I don’t get on with anyone from Portslade”. They do, they just, they like to create that kind of gang mentality</w:t>
      </w:r>
      <w:r w:rsidR="00E257BB">
        <w:rPr>
          <w:rFonts w:asciiTheme="majorHAnsi" w:hAnsiTheme="majorHAnsi" w:cstheme="minorHAnsi"/>
          <w:i/>
          <w:iCs/>
        </w:rPr>
        <w:t>.</w:t>
      </w:r>
      <w:r w:rsidRPr="00EE05AA">
        <w:rPr>
          <w:rFonts w:asciiTheme="majorHAnsi" w:hAnsiTheme="majorHAnsi" w:cstheme="minorHAnsi"/>
          <w:i/>
          <w:iCs/>
        </w:rPr>
        <w:t xml:space="preserve"> </w:t>
      </w:r>
    </w:p>
    <w:p w14:paraId="5A693C9D" w14:textId="77777777" w:rsidR="006C15DA" w:rsidRPr="00301C85" w:rsidRDefault="006C15DA" w:rsidP="006C15DA">
      <w:pPr>
        <w:pStyle w:val="ListParagraph"/>
        <w:spacing w:line="360" w:lineRule="auto"/>
        <w:ind w:left="0"/>
        <w:rPr>
          <w:rFonts w:asciiTheme="majorHAnsi" w:hAnsiTheme="majorHAnsi" w:cstheme="minorHAnsi"/>
          <w:b/>
          <w:bCs/>
        </w:rPr>
      </w:pPr>
    </w:p>
    <w:p w14:paraId="1247448E" w14:textId="0D213958" w:rsidR="006C15DA" w:rsidRPr="00301C85" w:rsidRDefault="006C15DA" w:rsidP="088F2921">
      <w:pPr>
        <w:pStyle w:val="ListParagraph"/>
        <w:spacing w:line="360" w:lineRule="auto"/>
        <w:ind w:left="0"/>
        <w:rPr>
          <w:rFonts w:asciiTheme="majorHAnsi" w:hAnsiTheme="majorHAnsi" w:cstheme="minorBidi"/>
        </w:rPr>
      </w:pPr>
      <w:r w:rsidRPr="00301C85">
        <w:rPr>
          <w:rFonts w:asciiTheme="majorHAnsi" w:hAnsiTheme="majorHAnsi" w:cstheme="minorBidi"/>
        </w:rPr>
        <w:t xml:space="preserve">Those identifying risks associated with gangs referred to ‘turf war’ and territorial identities, with many young men not </w:t>
      </w:r>
      <w:r w:rsidR="033CA3F4" w:rsidRPr="00301C85">
        <w:rPr>
          <w:rFonts w:asciiTheme="majorHAnsi" w:hAnsiTheme="majorHAnsi" w:cstheme="minorBidi"/>
        </w:rPr>
        <w:t xml:space="preserve">seeming to </w:t>
      </w:r>
      <w:r w:rsidRPr="00301C85">
        <w:rPr>
          <w:rFonts w:asciiTheme="majorHAnsi" w:hAnsiTheme="majorHAnsi" w:cstheme="minorBidi"/>
        </w:rPr>
        <w:t>identify</w:t>
      </w:r>
      <w:proofErr w:type="gramStart"/>
      <w:r w:rsidRPr="00301C85">
        <w:rPr>
          <w:rFonts w:asciiTheme="majorHAnsi" w:hAnsiTheme="majorHAnsi" w:cstheme="minorBidi"/>
        </w:rPr>
        <w:t>, ,</w:t>
      </w:r>
      <w:proofErr w:type="gramEnd"/>
      <w:r w:rsidR="62E3F40E" w:rsidRPr="00301C85">
        <w:rPr>
          <w:rFonts w:asciiTheme="majorHAnsi" w:hAnsiTheme="majorHAnsi" w:cstheme="minorBidi"/>
        </w:rPr>
        <w:t xml:space="preserve"> </w:t>
      </w:r>
      <w:r w:rsidRPr="00301C85">
        <w:rPr>
          <w:rFonts w:asciiTheme="majorHAnsi" w:hAnsiTheme="majorHAnsi" w:cstheme="minorBidi"/>
        </w:rPr>
        <w:t>with the city as a whole and only doing so with their own specific part of the city. Indeed, several participants expressed concern at how little young men know about other parts of the city and how disconnected they are</w:t>
      </w:r>
      <w:r w:rsidR="263D7922" w:rsidRPr="00301C85">
        <w:rPr>
          <w:rFonts w:asciiTheme="majorHAnsi" w:hAnsiTheme="majorHAnsi" w:cstheme="minorBidi"/>
        </w:rPr>
        <w:t xml:space="preserve"> more generally</w:t>
      </w:r>
      <w:r w:rsidRPr="00301C85">
        <w:rPr>
          <w:rFonts w:asciiTheme="majorHAnsi" w:hAnsiTheme="majorHAnsi" w:cstheme="minorBidi"/>
        </w:rPr>
        <w:t>:</w:t>
      </w:r>
    </w:p>
    <w:p w14:paraId="531DB62E" w14:textId="77777777" w:rsidR="006C15DA" w:rsidRPr="00EE05AA" w:rsidRDefault="006C15DA" w:rsidP="006C15DA">
      <w:pPr>
        <w:pStyle w:val="ListParagraph"/>
        <w:spacing w:line="360" w:lineRule="auto"/>
        <w:ind w:left="0"/>
        <w:rPr>
          <w:rFonts w:asciiTheme="majorHAnsi" w:hAnsiTheme="majorHAnsi" w:cstheme="minorHAnsi"/>
        </w:rPr>
      </w:pPr>
    </w:p>
    <w:p w14:paraId="35E2DE33" w14:textId="1A5BA085"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[Practitioner] We also have a situation within Brighton where you’ve got the Albanians, the Scousers, the London gangs, having a little bit of a turf war, and they are vicious people, they are genuinely vicious people</w:t>
      </w:r>
      <w:r w:rsidR="00E257BB">
        <w:rPr>
          <w:rFonts w:asciiTheme="majorHAnsi" w:hAnsiTheme="majorHAnsi" w:cstheme="minorHAnsi"/>
          <w:i/>
          <w:iCs/>
        </w:rPr>
        <w:t>.</w:t>
      </w:r>
      <w:r w:rsidRPr="00EE05AA">
        <w:rPr>
          <w:rFonts w:asciiTheme="majorHAnsi" w:hAnsiTheme="majorHAnsi" w:cstheme="minorHAnsi"/>
          <w:i/>
          <w:iCs/>
        </w:rPr>
        <w:t xml:space="preserve"> </w:t>
      </w:r>
    </w:p>
    <w:p w14:paraId="5B731C0C" w14:textId="77777777" w:rsidR="006C15DA" w:rsidRPr="00EE05AA" w:rsidRDefault="006C15DA" w:rsidP="006C15DA">
      <w:pPr>
        <w:pStyle w:val="ListParagraph"/>
        <w:spacing w:line="360" w:lineRule="auto"/>
        <w:ind w:left="0"/>
        <w:rPr>
          <w:rFonts w:asciiTheme="majorHAnsi" w:hAnsiTheme="majorHAnsi" w:cstheme="minorHAnsi"/>
          <w:b/>
          <w:bCs/>
        </w:rPr>
      </w:pPr>
    </w:p>
    <w:p w14:paraId="6A07EA2C" w14:textId="0FB755F8" w:rsidR="006C15DA" w:rsidRPr="00301C85" w:rsidRDefault="00E86D41" w:rsidP="006C15DA">
      <w:pPr>
        <w:pStyle w:val="ListParagraph"/>
        <w:spacing w:line="360" w:lineRule="auto"/>
        <w:ind w:left="0"/>
        <w:rPr>
          <w:rFonts w:asciiTheme="majorHAnsi" w:hAnsiTheme="majorHAnsi" w:cstheme="minorHAnsi"/>
          <w:bCs/>
          <w:i/>
          <w:iCs/>
        </w:rPr>
      </w:pPr>
      <w:r w:rsidRPr="00301C85">
        <w:rPr>
          <w:rFonts w:asciiTheme="majorHAnsi" w:hAnsiTheme="majorHAnsi" w:cstheme="minorHAnsi"/>
          <w:bCs/>
          <w:i/>
          <w:iCs/>
        </w:rPr>
        <w:t xml:space="preserve">5.5.3 </w:t>
      </w:r>
      <w:r w:rsidR="006C15DA" w:rsidRPr="00301C85">
        <w:rPr>
          <w:rFonts w:asciiTheme="majorHAnsi" w:hAnsiTheme="majorHAnsi" w:cstheme="minorHAnsi"/>
          <w:bCs/>
          <w:i/>
          <w:iCs/>
        </w:rPr>
        <w:t xml:space="preserve">Just passing through </w:t>
      </w:r>
    </w:p>
    <w:p w14:paraId="4CAF96D1" w14:textId="1DC58F8D" w:rsidR="006C15DA" w:rsidRPr="00301C85" w:rsidRDefault="006C15DA" w:rsidP="088F2921">
      <w:pPr>
        <w:pStyle w:val="ListParagraph"/>
        <w:spacing w:line="360" w:lineRule="auto"/>
        <w:ind w:left="0"/>
        <w:rPr>
          <w:rFonts w:asciiTheme="majorHAnsi" w:hAnsiTheme="majorHAnsi" w:cstheme="minorBidi"/>
        </w:rPr>
      </w:pPr>
      <w:r w:rsidRPr="00301C85">
        <w:rPr>
          <w:rFonts w:asciiTheme="majorHAnsi" w:hAnsiTheme="majorHAnsi" w:cstheme="minorBidi"/>
        </w:rPr>
        <w:t xml:space="preserve">The transient nature of the population and the formal and informal tourist attractions of the city were themes that emerged from many of the interviews conducted, including the relationship between this and exploitation and criminal activity, especially related to drug taking and supply. Whilst some participants identified risks to young men (and from young men) who become entangled with gang life in a location often referred to as “London by the sea”, others, albeit the </w:t>
      </w:r>
      <w:r w:rsidRPr="00301C85">
        <w:rPr>
          <w:rFonts w:asciiTheme="majorHAnsi" w:hAnsiTheme="majorHAnsi" w:cstheme="minorBidi"/>
        </w:rPr>
        <w:lastRenderedPageBreak/>
        <w:t>minority, stated that the existence of gangs in the area was something of a myth</w:t>
      </w:r>
      <w:r w:rsidR="040DAB73" w:rsidRPr="00301C85">
        <w:rPr>
          <w:rFonts w:asciiTheme="majorHAnsi" w:hAnsiTheme="majorHAnsi" w:cstheme="minorBidi"/>
        </w:rPr>
        <w:t xml:space="preserve">, perhaps reflecting the lack of unanimity </w:t>
      </w:r>
      <w:r w:rsidR="001805B7" w:rsidRPr="00301C85">
        <w:rPr>
          <w:rFonts w:asciiTheme="majorHAnsi" w:hAnsiTheme="majorHAnsi" w:cstheme="minorBidi"/>
        </w:rPr>
        <w:t>about the</w:t>
      </w:r>
      <w:r w:rsidR="040DAB73" w:rsidRPr="00301C85">
        <w:rPr>
          <w:rFonts w:asciiTheme="majorHAnsi" w:hAnsiTheme="majorHAnsi" w:cstheme="minorBidi"/>
        </w:rPr>
        <w:t xml:space="preserve"> term and its relevance to young people (Thompson, 2019)</w:t>
      </w:r>
      <w:r w:rsidR="00301C85">
        <w:rPr>
          <w:rFonts w:asciiTheme="majorHAnsi" w:hAnsiTheme="majorHAnsi" w:cstheme="minorBidi"/>
        </w:rPr>
        <w:t>.</w:t>
      </w:r>
    </w:p>
    <w:p w14:paraId="07399AEF" w14:textId="77777777" w:rsidR="006C15DA" w:rsidRPr="00301C85" w:rsidRDefault="006C15DA" w:rsidP="006C15DA">
      <w:pPr>
        <w:pStyle w:val="ListParagraph"/>
        <w:spacing w:line="360" w:lineRule="auto"/>
        <w:ind w:left="0"/>
        <w:rPr>
          <w:rFonts w:asciiTheme="majorHAnsi" w:hAnsiTheme="majorHAnsi" w:cstheme="minorHAnsi"/>
        </w:rPr>
      </w:pPr>
    </w:p>
    <w:p w14:paraId="47F96F7B" w14:textId="77777777" w:rsidR="006C15DA" w:rsidRPr="00301C85" w:rsidRDefault="006C15DA" w:rsidP="006C15DA">
      <w:pPr>
        <w:pStyle w:val="ListParagraph"/>
        <w:spacing w:line="360" w:lineRule="auto"/>
        <w:ind w:left="0"/>
        <w:rPr>
          <w:rFonts w:asciiTheme="majorHAnsi" w:hAnsiTheme="majorHAnsi" w:cstheme="minorHAnsi"/>
        </w:rPr>
      </w:pPr>
      <w:r w:rsidRPr="00301C85">
        <w:rPr>
          <w:rFonts w:asciiTheme="majorHAnsi" w:hAnsiTheme="majorHAnsi" w:cstheme="minorHAnsi"/>
        </w:rPr>
        <w:t xml:space="preserve">Referring to the processes by which exploitation locally has occurred, one young man explained that: </w:t>
      </w:r>
    </w:p>
    <w:p w14:paraId="4736A56A" w14:textId="77777777" w:rsidR="006C15DA" w:rsidRPr="00EE05AA" w:rsidRDefault="006C15DA" w:rsidP="006C15DA">
      <w:pPr>
        <w:pStyle w:val="ListParagraph"/>
        <w:spacing w:line="360" w:lineRule="auto"/>
        <w:ind w:left="0" w:firstLine="720"/>
        <w:rPr>
          <w:rFonts w:asciiTheme="majorHAnsi" w:hAnsiTheme="majorHAnsi" w:cstheme="minorHAnsi"/>
          <w:b/>
          <w:bCs/>
        </w:rPr>
      </w:pPr>
    </w:p>
    <w:p w14:paraId="1674A449"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I didn’t really mention much of the like older generation, like the grooming and all that. That’s a real thing, it’s a lot more real than people think. Like, yeah, it’s somehow making it </w:t>
      </w:r>
      <w:proofErr w:type="gramStart"/>
      <w:r w:rsidRPr="00EE05AA">
        <w:rPr>
          <w:rFonts w:asciiTheme="majorHAnsi" w:hAnsiTheme="majorHAnsi" w:cstheme="minorHAnsi"/>
          <w:i/>
          <w:iCs/>
        </w:rPr>
        <w:t>more easy</w:t>
      </w:r>
      <w:proofErr w:type="gramEnd"/>
      <w:r w:rsidRPr="00EE05AA">
        <w:rPr>
          <w:rFonts w:asciiTheme="majorHAnsi" w:hAnsiTheme="majorHAnsi" w:cstheme="minorHAnsi"/>
          <w:i/>
          <w:iCs/>
        </w:rPr>
        <w:t xml:space="preserve"> for people to get in debt, more people, like I was addicted to Xans </w:t>
      </w:r>
      <w:r w:rsidRPr="00EE05AA">
        <w:rPr>
          <w:rFonts w:asciiTheme="majorHAnsi" w:hAnsiTheme="majorHAnsi" w:cstheme="minorHAnsi"/>
        </w:rPr>
        <w:t>[Xanax]</w:t>
      </w:r>
      <w:r w:rsidRPr="00EE05AA">
        <w:rPr>
          <w:rFonts w:asciiTheme="majorHAnsi" w:hAnsiTheme="majorHAnsi" w:cstheme="minorHAnsi"/>
          <w:i/>
          <w:iCs/>
        </w:rPr>
        <w:t xml:space="preserve"> when I was 12 and then went through all the grooming, it was, year just not nice… It’s a lot more real than you think and it’s a lot bigger in Brighton than, I would say, even London. Like the amount of people like around the beach, around the Marina.</w:t>
      </w:r>
    </w:p>
    <w:p w14:paraId="13CF30A8" w14:textId="77777777" w:rsidR="006C15DA" w:rsidRPr="00EE05AA" w:rsidRDefault="006C15DA" w:rsidP="006C15DA">
      <w:pPr>
        <w:spacing w:line="360" w:lineRule="auto"/>
        <w:contextualSpacing/>
        <w:rPr>
          <w:rFonts w:asciiTheme="majorHAnsi" w:hAnsiTheme="majorHAnsi" w:cstheme="minorHAnsi"/>
        </w:rPr>
      </w:pPr>
    </w:p>
    <w:p w14:paraId="0E8A4FF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He went on to explain that the processes used may not be as often portrayed:</w:t>
      </w:r>
    </w:p>
    <w:p w14:paraId="6B2B3DCD" w14:textId="77777777" w:rsidR="006C15DA" w:rsidRPr="00EE05AA" w:rsidRDefault="006C15DA" w:rsidP="006C15DA">
      <w:pPr>
        <w:spacing w:line="360" w:lineRule="auto"/>
        <w:contextualSpacing/>
        <w:rPr>
          <w:rFonts w:asciiTheme="majorHAnsi" w:hAnsiTheme="majorHAnsi" w:cstheme="minorHAnsi"/>
          <w:i/>
          <w:iCs/>
        </w:rPr>
      </w:pPr>
    </w:p>
    <w:p w14:paraId="74EED7B5"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A lot of the time they think it happens from people going over, offering money. Like it doesn’t, it can start from being in debt, most things can end up with that, especially with the older people taking advantage of younger people with addictions, or even not with addictions ... like it’s generalised that paedophiles are usually men looking for women, but, especially in Brighton, there’s a lot of gay paedophiles.</w:t>
      </w:r>
    </w:p>
    <w:p w14:paraId="09D62CE0" w14:textId="77777777" w:rsidR="006C15DA" w:rsidRPr="00EE05AA" w:rsidRDefault="006C15DA" w:rsidP="006C15DA">
      <w:pPr>
        <w:pStyle w:val="ListParagraph"/>
        <w:spacing w:line="360" w:lineRule="auto"/>
        <w:ind w:left="0"/>
        <w:rPr>
          <w:rFonts w:asciiTheme="majorHAnsi" w:hAnsiTheme="majorHAnsi" w:cstheme="minorHAnsi"/>
          <w:b/>
          <w:bCs/>
          <w:i/>
          <w:iCs/>
        </w:rPr>
      </w:pPr>
    </w:p>
    <w:p w14:paraId="7DEB5721" w14:textId="29975AE5" w:rsidR="00DF412F" w:rsidRPr="00301C85" w:rsidRDefault="00DF412F" w:rsidP="260A14CD">
      <w:pPr>
        <w:pStyle w:val="ListParagraph"/>
        <w:spacing w:line="360" w:lineRule="auto"/>
        <w:ind w:left="0"/>
        <w:rPr>
          <w:rFonts w:asciiTheme="majorHAnsi" w:hAnsiTheme="majorHAnsi" w:cstheme="minorBidi"/>
        </w:rPr>
      </w:pPr>
      <w:r w:rsidRPr="00301C85">
        <w:rPr>
          <w:rFonts w:asciiTheme="majorHAnsi" w:hAnsiTheme="majorHAnsi" w:cstheme="minorBidi"/>
        </w:rPr>
        <w:t>Whilst the young man quoted above draws connections between the gender of the victim and the sexual orientation of the predator, that is included in the quotation for completeness</w:t>
      </w:r>
      <w:r w:rsidR="05E9AD01" w:rsidRPr="00301C85">
        <w:rPr>
          <w:rFonts w:asciiTheme="majorHAnsi" w:hAnsiTheme="majorHAnsi" w:cstheme="minorBidi"/>
        </w:rPr>
        <w:t>,</w:t>
      </w:r>
      <w:r w:rsidR="214F6446" w:rsidRPr="00301C85">
        <w:rPr>
          <w:rFonts w:asciiTheme="majorHAnsi" w:hAnsiTheme="majorHAnsi" w:cstheme="minorBidi"/>
        </w:rPr>
        <w:t xml:space="preserve"> </w:t>
      </w:r>
      <w:r w:rsidRPr="00301C85">
        <w:rPr>
          <w:rFonts w:asciiTheme="majorHAnsi" w:hAnsiTheme="majorHAnsi" w:cstheme="minorBidi"/>
        </w:rPr>
        <w:t xml:space="preserve">and the experience of the researchers is that this offending is </w:t>
      </w:r>
      <w:r w:rsidR="50076525" w:rsidRPr="00301C85">
        <w:rPr>
          <w:rFonts w:asciiTheme="majorHAnsi" w:hAnsiTheme="majorHAnsi" w:cstheme="minorBidi"/>
        </w:rPr>
        <w:t>b</w:t>
      </w:r>
      <w:r w:rsidR="53C3B2E1" w:rsidRPr="00301C85">
        <w:rPr>
          <w:rFonts w:asciiTheme="majorHAnsi" w:hAnsiTheme="majorHAnsi" w:cstheme="minorBidi"/>
        </w:rPr>
        <w:t xml:space="preserve">est understood as simply </w:t>
      </w:r>
      <w:r w:rsidR="00301C85" w:rsidRPr="00301C85">
        <w:rPr>
          <w:rFonts w:asciiTheme="majorHAnsi" w:hAnsiTheme="majorHAnsi" w:cstheme="minorBidi"/>
        </w:rPr>
        <w:t>paedophilia</w:t>
      </w:r>
      <w:r w:rsidRPr="00301C85">
        <w:rPr>
          <w:rFonts w:asciiTheme="majorHAnsi" w:hAnsiTheme="majorHAnsi" w:cstheme="minorBidi"/>
        </w:rPr>
        <w:t xml:space="preserve"> rather than being ‘straight’ or ‘gay’ </w:t>
      </w:r>
      <w:r w:rsidR="00301C85" w:rsidRPr="00301C85">
        <w:rPr>
          <w:rFonts w:asciiTheme="majorHAnsi" w:hAnsiTheme="majorHAnsi" w:cstheme="minorBidi"/>
        </w:rPr>
        <w:t>paedophilia</w:t>
      </w:r>
      <w:r w:rsidRPr="00301C85">
        <w:rPr>
          <w:rFonts w:asciiTheme="majorHAnsi" w:hAnsiTheme="majorHAnsi" w:cstheme="minorBidi"/>
        </w:rPr>
        <w:t>.</w:t>
      </w:r>
      <w:r w:rsidR="64C528AE" w:rsidRPr="00301C85">
        <w:rPr>
          <w:rFonts w:asciiTheme="majorHAnsi" w:hAnsiTheme="majorHAnsi" w:cstheme="minorBidi"/>
        </w:rPr>
        <w:t xml:space="preserve"> This is because the issue here is the sexual attraction and exploitation that occurs is with children. Heterosexual men who are paed</w:t>
      </w:r>
      <w:r w:rsidR="4CBF93C5" w:rsidRPr="00301C85">
        <w:rPr>
          <w:rFonts w:asciiTheme="majorHAnsi" w:hAnsiTheme="majorHAnsi" w:cstheme="minorBidi"/>
        </w:rPr>
        <w:t xml:space="preserve">ophiles </w:t>
      </w:r>
      <w:r w:rsidR="4CBF93C5" w:rsidRPr="00301C85">
        <w:rPr>
          <w:rFonts w:asciiTheme="majorHAnsi" w:hAnsiTheme="majorHAnsi" w:cstheme="minorBidi"/>
        </w:rPr>
        <w:lastRenderedPageBreak/>
        <w:t>may abuse boys or girls and this does not mean that they are ‘gay paedophiles’ or that they are ‘bisexual’. However, the quotation als</w:t>
      </w:r>
      <w:r w:rsidR="7CE24A77" w:rsidRPr="00301C85">
        <w:rPr>
          <w:rFonts w:asciiTheme="majorHAnsi" w:hAnsiTheme="majorHAnsi" w:cstheme="minorBidi"/>
        </w:rPr>
        <w:t xml:space="preserve">o suggests that boys and young men may be less likely to see themselves as potential victims of these crimes, associating that </w:t>
      </w:r>
      <w:r w:rsidR="181C3C47" w:rsidRPr="00301C85">
        <w:rPr>
          <w:rFonts w:asciiTheme="majorHAnsi" w:hAnsiTheme="majorHAnsi" w:cstheme="minorBidi"/>
        </w:rPr>
        <w:t xml:space="preserve">likelihood </w:t>
      </w:r>
      <w:r w:rsidR="7CE24A77" w:rsidRPr="00301C85">
        <w:rPr>
          <w:rFonts w:asciiTheme="majorHAnsi" w:hAnsiTheme="majorHAnsi" w:cstheme="minorBidi"/>
        </w:rPr>
        <w:t xml:space="preserve">with their female peers perhaps. </w:t>
      </w:r>
    </w:p>
    <w:p w14:paraId="0BF5C10C" w14:textId="77777777" w:rsidR="00DF412F" w:rsidRDefault="00DF412F" w:rsidP="006C15DA">
      <w:pPr>
        <w:pStyle w:val="ListParagraph"/>
        <w:spacing w:line="360" w:lineRule="auto"/>
        <w:ind w:left="0"/>
        <w:rPr>
          <w:rFonts w:asciiTheme="majorHAnsi" w:hAnsiTheme="majorHAnsi" w:cstheme="minorHAnsi"/>
        </w:rPr>
      </w:pPr>
    </w:p>
    <w:p w14:paraId="78843310" w14:textId="4176997E" w:rsidR="006C15DA" w:rsidRPr="00301C85" w:rsidRDefault="006C15DA" w:rsidP="006C15DA">
      <w:pPr>
        <w:pStyle w:val="ListParagraph"/>
        <w:spacing w:line="360" w:lineRule="auto"/>
        <w:ind w:left="0"/>
        <w:rPr>
          <w:rFonts w:asciiTheme="majorHAnsi" w:hAnsiTheme="majorHAnsi" w:cstheme="minorHAnsi"/>
        </w:rPr>
      </w:pPr>
      <w:r w:rsidRPr="00301C85">
        <w:rPr>
          <w:rFonts w:asciiTheme="majorHAnsi" w:hAnsiTheme="majorHAnsi" w:cstheme="minorHAnsi"/>
        </w:rPr>
        <w:t>In relation to access to recreational drugs, several young men and practitioners referred to the relative ease of access to a range of illegal substances. One young man stated that:</w:t>
      </w:r>
    </w:p>
    <w:p w14:paraId="02A7D4AB" w14:textId="77777777" w:rsidR="006C15DA" w:rsidRPr="00EE05AA" w:rsidRDefault="006C15DA" w:rsidP="006C15DA">
      <w:pPr>
        <w:pStyle w:val="ListParagraph"/>
        <w:spacing w:line="360" w:lineRule="auto"/>
        <w:ind w:left="0"/>
        <w:rPr>
          <w:rFonts w:asciiTheme="majorHAnsi" w:hAnsiTheme="majorHAnsi" w:cstheme="minorHAnsi"/>
        </w:rPr>
      </w:pPr>
    </w:p>
    <w:p w14:paraId="7B964E4D" w14:textId="68F79BA4"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It’s easier to get any, you could get anything easier than it is to get pizza. Like it’s easier for someone my age to get like, not that I would, but it’s easier to get like heroin or crack than it is to g</w:t>
      </w:r>
      <w:r w:rsidR="0080697E">
        <w:rPr>
          <w:rFonts w:asciiTheme="majorHAnsi" w:hAnsiTheme="majorHAnsi" w:cstheme="minorHAnsi"/>
          <w:i/>
          <w:iCs/>
        </w:rPr>
        <w:t>et al</w:t>
      </w:r>
      <w:r w:rsidRPr="00EE05AA">
        <w:rPr>
          <w:rFonts w:asciiTheme="majorHAnsi" w:hAnsiTheme="majorHAnsi" w:cstheme="minorHAnsi"/>
          <w:i/>
          <w:iCs/>
        </w:rPr>
        <w:t>cohol from a shop.</w:t>
      </w:r>
    </w:p>
    <w:p w14:paraId="5046EA4B" w14:textId="77777777" w:rsidR="006C15DA" w:rsidRPr="00EE05AA" w:rsidRDefault="006C15DA" w:rsidP="006C15DA">
      <w:pPr>
        <w:pStyle w:val="ListParagraph"/>
        <w:spacing w:line="360" w:lineRule="auto"/>
        <w:ind w:left="0"/>
        <w:rPr>
          <w:rFonts w:asciiTheme="majorHAnsi" w:hAnsiTheme="majorHAnsi" w:cstheme="minorHAnsi"/>
          <w:b/>
          <w:bCs/>
        </w:rPr>
      </w:pPr>
    </w:p>
    <w:p w14:paraId="4B9715A3" w14:textId="77777777" w:rsidR="006C15DA" w:rsidRPr="00301C85" w:rsidRDefault="006C15DA" w:rsidP="260A14CD">
      <w:pPr>
        <w:pStyle w:val="ListParagraph"/>
        <w:spacing w:line="360" w:lineRule="auto"/>
        <w:ind w:left="0"/>
        <w:rPr>
          <w:rFonts w:asciiTheme="majorHAnsi" w:hAnsiTheme="majorHAnsi" w:cstheme="minorBidi"/>
        </w:rPr>
      </w:pPr>
      <w:r w:rsidRPr="00301C85">
        <w:rPr>
          <w:rFonts w:asciiTheme="majorHAnsi" w:hAnsiTheme="majorHAnsi" w:cstheme="minorBidi"/>
        </w:rPr>
        <w:t>Practitioners also linked the transient nature of the population and the high proportion of tourists visiting the city to the drug market:</w:t>
      </w:r>
    </w:p>
    <w:p w14:paraId="0D9E02B8" w14:textId="15F7F44B" w:rsidR="260A14CD" w:rsidRPr="00301C85" w:rsidRDefault="260A14CD" w:rsidP="260A14CD">
      <w:pPr>
        <w:pStyle w:val="ListParagraph"/>
        <w:spacing w:line="360" w:lineRule="auto"/>
        <w:ind w:left="0"/>
        <w:rPr>
          <w:rFonts w:asciiTheme="majorHAnsi" w:hAnsiTheme="majorHAnsi" w:cstheme="minorBidi"/>
        </w:rPr>
      </w:pPr>
    </w:p>
    <w:p w14:paraId="7E25F89C" w14:textId="77777777" w:rsidR="006C15DA" w:rsidRPr="00301C85" w:rsidRDefault="006C15DA" w:rsidP="006C15DA">
      <w:pPr>
        <w:pStyle w:val="ListParagraph"/>
        <w:spacing w:line="360" w:lineRule="auto"/>
        <w:rPr>
          <w:rFonts w:asciiTheme="majorHAnsi" w:hAnsiTheme="majorHAnsi" w:cstheme="minorHAnsi"/>
          <w:i/>
        </w:rPr>
      </w:pPr>
      <w:r w:rsidRPr="00301C85">
        <w:rPr>
          <w:rFonts w:asciiTheme="majorHAnsi" w:hAnsiTheme="majorHAnsi" w:cstheme="minorHAnsi"/>
          <w:i/>
        </w:rPr>
        <w:t>Because of the tourist town and also the amount of disposable income of the tourists that come here, the drugs market in Brighton is fucking huge</w:t>
      </w:r>
    </w:p>
    <w:p w14:paraId="11BF762E" w14:textId="77777777" w:rsidR="006C15DA" w:rsidRPr="00301C85" w:rsidRDefault="006C15DA" w:rsidP="006C15DA">
      <w:pPr>
        <w:spacing w:line="360" w:lineRule="auto"/>
        <w:contextualSpacing/>
        <w:rPr>
          <w:rFonts w:asciiTheme="majorHAnsi" w:hAnsiTheme="majorHAnsi" w:cstheme="minorHAnsi"/>
          <w:i/>
          <w:iCs/>
        </w:rPr>
      </w:pPr>
    </w:p>
    <w:p w14:paraId="79257FC6"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Indeed, this ‘passing through’ of tourists is also relevant when considering issues of exploitation as some respondents identified the significant risk this can pose when issues ‘slip off the radar’. </w:t>
      </w:r>
    </w:p>
    <w:p w14:paraId="2EA3D08F" w14:textId="77777777" w:rsidR="006C15DA" w:rsidRPr="00EE05AA" w:rsidRDefault="006C15DA" w:rsidP="006C15DA">
      <w:pPr>
        <w:pStyle w:val="ListParagraph"/>
        <w:spacing w:line="360" w:lineRule="auto"/>
        <w:ind w:left="0"/>
        <w:rPr>
          <w:rFonts w:asciiTheme="majorHAnsi" w:hAnsiTheme="majorHAnsi" w:cstheme="minorHAnsi"/>
        </w:rPr>
      </w:pPr>
    </w:p>
    <w:p w14:paraId="5D84BAB7"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Finally, some practitioners referred to the reputation Brighton and Hove has for ‘acceptance’ as being a potential double-edged sword for those questioning their sexual identities and other aspects of identity too:</w:t>
      </w:r>
    </w:p>
    <w:p w14:paraId="47FBE43C" w14:textId="77777777" w:rsidR="006C15DA" w:rsidRPr="00EE05AA" w:rsidRDefault="006C15DA" w:rsidP="006C15DA">
      <w:pPr>
        <w:spacing w:line="360" w:lineRule="auto"/>
        <w:contextualSpacing/>
        <w:rPr>
          <w:rFonts w:asciiTheme="majorHAnsi" w:hAnsiTheme="majorHAnsi" w:cstheme="minorHAnsi"/>
        </w:rPr>
      </w:pPr>
    </w:p>
    <w:p w14:paraId="256F9EE6" w14:textId="0CC92DF5"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rPr>
        <w:lastRenderedPageBreak/>
        <w:t>[Practitioner]</w:t>
      </w:r>
      <w:r w:rsidRPr="00EE05AA">
        <w:rPr>
          <w:rFonts w:asciiTheme="majorHAnsi" w:hAnsiTheme="majorHAnsi" w:cstheme="minorHAnsi"/>
          <w:i/>
          <w:iCs/>
        </w:rPr>
        <w:t xml:space="preserve"> Specifically, for young men who are gay, bisexual </w:t>
      </w:r>
      <w:r w:rsidR="00942854">
        <w:rPr>
          <w:rFonts w:asciiTheme="majorHAnsi" w:hAnsiTheme="majorHAnsi" w:cstheme="minorHAnsi"/>
          <w:i/>
          <w:iCs/>
        </w:rPr>
        <w:t>…</w:t>
      </w:r>
      <w:r w:rsidRPr="00EE05AA">
        <w:rPr>
          <w:rFonts w:asciiTheme="majorHAnsi" w:hAnsiTheme="majorHAnsi" w:cstheme="minorHAnsi"/>
          <w:i/>
          <w:iCs/>
        </w:rPr>
        <w:t xml:space="preserve"> I think young men who are gay will potentially be more at risk of physical violence, if they’re out. Stuff around culture and religion, stuff around the school community</w:t>
      </w:r>
      <w:r w:rsidR="00E257BB">
        <w:rPr>
          <w:rFonts w:asciiTheme="majorHAnsi" w:hAnsiTheme="majorHAnsi" w:cstheme="minorHAnsi"/>
          <w:i/>
          <w:iCs/>
        </w:rPr>
        <w:t>.</w:t>
      </w:r>
      <w:r w:rsidRPr="00EE05AA">
        <w:rPr>
          <w:rFonts w:asciiTheme="majorHAnsi" w:hAnsiTheme="majorHAnsi" w:cstheme="minorHAnsi"/>
          <w:i/>
          <w:iCs/>
        </w:rPr>
        <w:t xml:space="preserve"> </w:t>
      </w:r>
    </w:p>
    <w:p w14:paraId="462FB3DF" w14:textId="77777777"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rPr>
        <w:t xml:space="preserve"> </w:t>
      </w:r>
    </w:p>
    <w:p w14:paraId="2F145571" w14:textId="6F5CC6DB"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And, particularly powerfully</w:t>
      </w:r>
      <w:r w:rsidR="00DF412F">
        <w:rPr>
          <w:rFonts w:asciiTheme="majorHAnsi" w:hAnsiTheme="majorHAnsi" w:cstheme="minorHAnsi"/>
        </w:rPr>
        <w:t xml:space="preserve"> in relation to a perhaps less pervasive culture of acceptance</w:t>
      </w:r>
      <w:r w:rsidRPr="00EE05AA">
        <w:rPr>
          <w:rFonts w:asciiTheme="majorHAnsi" w:hAnsiTheme="majorHAnsi" w:cstheme="minorHAnsi"/>
        </w:rPr>
        <w:t>:</w:t>
      </w:r>
    </w:p>
    <w:p w14:paraId="3A1EAB50" w14:textId="77777777" w:rsidR="006C15DA" w:rsidRPr="00EE05AA" w:rsidRDefault="006C15DA" w:rsidP="006C15DA">
      <w:pPr>
        <w:spacing w:line="360" w:lineRule="auto"/>
        <w:contextualSpacing/>
        <w:rPr>
          <w:rFonts w:asciiTheme="majorHAnsi" w:hAnsiTheme="majorHAnsi" w:cstheme="minorHAnsi"/>
        </w:rPr>
      </w:pPr>
    </w:p>
    <w:p w14:paraId="459EFF0B" w14:textId="7068B383"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rPr>
        <w:t>[Practitioner]</w:t>
      </w:r>
      <w:r w:rsidRPr="00EE05AA">
        <w:rPr>
          <w:rFonts w:asciiTheme="majorHAnsi" w:hAnsiTheme="majorHAnsi" w:cstheme="minorHAnsi"/>
          <w:i/>
          <w:iCs/>
        </w:rPr>
        <w:t xml:space="preserve"> Brighton seems to promote itself as a mecca for acceptance but it’s a mecca for acceptance if you’re middle class and can afford the lifestyle that Brighton facilitates. If you’re outside of that, it’s a much harsher reality to come into contact with and the same with BAME, people, queer people have the exact same struggle</w:t>
      </w:r>
      <w:r w:rsidR="00E257BB">
        <w:rPr>
          <w:rFonts w:asciiTheme="majorHAnsi" w:hAnsiTheme="majorHAnsi" w:cstheme="minorHAnsi"/>
          <w:i/>
          <w:iCs/>
        </w:rPr>
        <w:t>.</w:t>
      </w:r>
    </w:p>
    <w:p w14:paraId="7FAB20CF" w14:textId="27F00D5F" w:rsidR="006C15DA" w:rsidRDefault="006C15DA" w:rsidP="006C15DA">
      <w:pPr>
        <w:spacing w:line="360" w:lineRule="auto"/>
        <w:contextualSpacing/>
        <w:rPr>
          <w:rFonts w:asciiTheme="majorHAnsi" w:hAnsiTheme="majorHAnsi" w:cstheme="minorHAnsi"/>
        </w:rPr>
      </w:pPr>
    </w:p>
    <w:p w14:paraId="16345991" w14:textId="513C0E7C" w:rsidR="00301C85" w:rsidRDefault="00301C85" w:rsidP="006C15DA">
      <w:pPr>
        <w:spacing w:line="360" w:lineRule="auto"/>
        <w:contextualSpacing/>
        <w:rPr>
          <w:rFonts w:asciiTheme="majorHAnsi" w:hAnsiTheme="majorHAnsi" w:cstheme="minorHAnsi"/>
        </w:rPr>
      </w:pPr>
    </w:p>
    <w:p w14:paraId="08047DC5" w14:textId="77777777" w:rsidR="00301C85" w:rsidRPr="00EE05AA" w:rsidRDefault="00301C85" w:rsidP="006C15DA">
      <w:pPr>
        <w:spacing w:line="360" w:lineRule="auto"/>
        <w:contextualSpacing/>
        <w:rPr>
          <w:rFonts w:asciiTheme="majorHAnsi" w:hAnsiTheme="majorHAnsi" w:cstheme="minorHAnsi"/>
        </w:rPr>
      </w:pPr>
    </w:p>
    <w:p w14:paraId="6316A0E7"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Implications for practice</w:t>
      </w:r>
    </w:p>
    <w:p w14:paraId="7627B9EC" w14:textId="163CD93F" w:rsidR="006C15DA" w:rsidRPr="00EE05AA" w:rsidRDefault="006C15DA" w:rsidP="0080697E">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Need to consult with young men regarding physical location of service and issues of accessibility and safety in the broadest sense of that term</w:t>
      </w:r>
      <w:r w:rsidR="00DF412F">
        <w:rPr>
          <w:rFonts w:asciiTheme="majorHAnsi" w:hAnsiTheme="majorHAnsi" w:cstheme="minorHAnsi"/>
        </w:rPr>
        <w:t xml:space="preserve">, and to consider </w:t>
      </w:r>
      <w:r w:rsidR="00900635">
        <w:rPr>
          <w:rFonts w:asciiTheme="majorHAnsi" w:hAnsiTheme="majorHAnsi" w:cstheme="minorHAnsi"/>
        </w:rPr>
        <w:t xml:space="preserve">delivery of services on a neighbourhood basis given their reported identification at this level, rather than city-wide. </w:t>
      </w:r>
    </w:p>
    <w:p w14:paraId="6D14842C"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p>
    <w:p w14:paraId="471F8C7C" w14:textId="77777777" w:rsidR="006C15DA" w:rsidRPr="00EE05AA" w:rsidRDefault="006C15DA" w:rsidP="0080697E">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Need to exercise caution when importing specific interventions from elsewhere in order to ensure applicability and lack of disconnect with features of the local area</w:t>
      </w:r>
    </w:p>
    <w:p w14:paraId="205D5EAB"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p>
    <w:p w14:paraId="390595FF" w14:textId="77777777" w:rsidR="006C15DA" w:rsidRPr="00EE05AA" w:rsidRDefault="006C15DA" w:rsidP="0080697E">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The transient nature of a significant proportion of the population is a key factor in relation to the characteristics of the local area in this instance</w:t>
      </w:r>
    </w:p>
    <w:p w14:paraId="2658233E" w14:textId="0FE98017" w:rsidR="006C15DA" w:rsidRDefault="006C15DA" w:rsidP="006C15DA">
      <w:pPr>
        <w:spacing w:line="360" w:lineRule="auto"/>
        <w:contextualSpacing/>
        <w:rPr>
          <w:rFonts w:asciiTheme="majorHAnsi" w:hAnsiTheme="majorHAnsi" w:cstheme="minorHAnsi"/>
          <w:b/>
        </w:rPr>
      </w:pPr>
      <w:r w:rsidRPr="00EE05AA">
        <w:rPr>
          <w:rFonts w:asciiTheme="majorHAnsi" w:hAnsiTheme="majorHAnsi" w:cstheme="minorHAnsi"/>
          <w:b/>
          <w:bCs/>
        </w:rPr>
        <w:br w:type="page"/>
      </w:r>
      <w:r w:rsidR="00E86D41">
        <w:rPr>
          <w:rFonts w:asciiTheme="majorHAnsi" w:hAnsiTheme="majorHAnsi" w:cstheme="minorHAnsi"/>
          <w:b/>
          <w:bCs/>
        </w:rPr>
        <w:lastRenderedPageBreak/>
        <w:t>5</w:t>
      </w:r>
      <w:r w:rsidR="000414B2">
        <w:rPr>
          <w:rFonts w:asciiTheme="majorHAnsi" w:hAnsiTheme="majorHAnsi" w:cstheme="minorHAnsi"/>
          <w:b/>
          <w:bCs/>
        </w:rPr>
        <w:t>.2</w:t>
      </w:r>
      <w:r w:rsidR="007124DA">
        <w:rPr>
          <w:rFonts w:asciiTheme="majorHAnsi" w:hAnsiTheme="majorHAnsi" w:cstheme="minorHAnsi"/>
          <w:b/>
          <w:bCs/>
        </w:rPr>
        <w:t xml:space="preserve"> </w:t>
      </w:r>
      <w:r w:rsidRPr="00EE05AA">
        <w:rPr>
          <w:rFonts w:asciiTheme="majorHAnsi" w:hAnsiTheme="majorHAnsi" w:cstheme="minorHAnsi"/>
          <w:b/>
        </w:rPr>
        <w:t xml:space="preserve">Masculinities and other identities </w:t>
      </w:r>
    </w:p>
    <w:p w14:paraId="06EB3655" w14:textId="77777777" w:rsidR="007813F2" w:rsidRPr="00EE05AA" w:rsidRDefault="007813F2" w:rsidP="006C15DA">
      <w:pPr>
        <w:spacing w:line="360" w:lineRule="auto"/>
        <w:contextualSpacing/>
        <w:rPr>
          <w:rFonts w:asciiTheme="majorHAnsi" w:hAnsiTheme="majorHAnsi" w:cstheme="minorHAnsi"/>
          <w:b/>
        </w:rPr>
      </w:pPr>
    </w:p>
    <w:p w14:paraId="1E4CBF9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bookmarkStart w:id="5" w:name="_Hlk58327506"/>
      <w:r w:rsidRPr="00EE05AA">
        <w:rPr>
          <w:rFonts w:asciiTheme="majorHAnsi" w:hAnsiTheme="majorHAnsi" w:cstheme="minorHAnsi"/>
          <w:b/>
          <w:bCs/>
          <w:i/>
          <w:iCs/>
          <w:color w:val="002060"/>
        </w:rPr>
        <w:t>Key Issues</w:t>
      </w:r>
    </w:p>
    <w:p w14:paraId="015DE07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Help-seeking is ‘non-masculine’ </w:t>
      </w:r>
    </w:p>
    <w:p w14:paraId="0977FC76"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Young men are concerned that help-seeking is a sign of weakness. If they were to seek help from practitioners, they could face teasing from their peers, and lose status in their peer groups. </w:t>
      </w:r>
    </w:p>
    <w:p w14:paraId="5B1CF13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005DBE3B"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Restricted emotionality </w:t>
      </w:r>
    </w:p>
    <w:p w14:paraId="27579BE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Young men are not socialised to understand their emotionality, or express it appropriately. According to practitioners, young men’s lack of “emotional intelligence” leads to unhealthy emotional expression, including though violence. Practitioners also see restricted emotionality as an obstacle to help-seeking for young men. </w:t>
      </w:r>
    </w:p>
    <w:p w14:paraId="6705994E"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5CD7352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Absence of role models</w:t>
      </w:r>
    </w:p>
    <w:p w14:paraId="471E0D20"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Restricted emotionality among young men is owing to an absence of positive role models. Young men have favourable experiences of contact with male role models in the services they access, providing them with realistic and healthier ways of “being men”. Practitioners are concerned with the over-representation of women working in services with young men. </w:t>
      </w:r>
    </w:p>
    <w:p w14:paraId="66EA722B"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4B2ACAE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Inequalities between young men and young women </w:t>
      </w:r>
    </w:p>
    <w:p w14:paraId="43B65C8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Gender stereotypes influence the quality of service offered to young men, and the accessibility of the services. There are concerns that young men are conceptualised more readily as perpetrators rather than victims, and that youth work with young men is generally undervalued. </w:t>
      </w:r>
    </w:p>
    <w:p w14:paraId="46097140"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734A90E5"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Issues associated with class, race, ethnicity, and sexual and gender identity </w:t>
      </w:r>
    </w:p>
    <w:p w14:paraId="0EA5899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A lack of diversity among practitioners means that services are not accessible to or oriented to supporting all young men equally. </w:t>
      </w:r>
    </w:p>
    <w:bookmarkEnd w:id="5"/>
    <w:p w14:paraId="7F9B5A8F" w14:textId="77777777" w:rsidR="006C15DA" w:rsidRPr="00EE05AA" w:rsidRDefault="006C15DA" w:rsidP="006C15DA">
      <w:pPr>
        <w:spacing w:line="360" w:lineRule="auto"/>
        <w:contextualSpacing/>
        <w:rPr>
          <w:rFonts w:asciiTheme="majorHAnsi" w:hAnsiTheme="majorHAnsi" w:cstheme="minorHAnsi"/>
        </w:rPr>
      </w:pPr>
    </w:p>
    <w:p w14:paraId="05EE2CD1" w14:textId="77777777" w:rsidR="006C15DA" w:rsidRPr="00EE05AA" w:rsidRDefault="006C15DA" w:rsidP="006C15DA">
      <w:pPr>
        <w:spacing w:line="360" w:lineRule="auto"/>
        <w:contextualSpacing/>
        <w:rPr>
          <w:rFonts w:asciiTheme="majorHAnsi" w:hAnsiTheme="majorHAnsi" w:cstheme="minorHAnsi"/>
          <w:iCs/>
          <w:color w:val="000000" w:themeColor="text1"/>
        </w:rPr>
      </w:pPr>
      <w:r w:rsidRPr="00EE05AA">
        <w:rPr>
          <w:rFonts w:asciiTheme="majorHAnsi" w:hAnsiTheme="majorHAnsi" w:cstheme="minorHAnsi"/>
          <w:iCs/>
          <w:color w:val="000000" w:themeColor="text1"/>
        </w:rPr>
        <w:t xml:space="preserve">Both young men and practitioners identified issues related to beliefs about masculinity and masculine identities as being pertinent to the delivery and accessibility of young people’s services. Codes of what might be referred to as ‘orthodox’, or ‘traditional masculinity’ policed aspects of the young men’s behaviour, including their criminal behaviour, and their engagement with services. Relationships with practitioners – and therefore the efficacy of interventions – were affected by issues and perceptions relating to gender. Young men’s mental health and physical wellbeing were associated with their beliefs about what it takes to be a ‘real man’. However, the fact that some young men were able to articulate concerns related to masculinity and gender relationships demonstrated that they had a reflexive awareness of the limitations of these beliefs for their wellbeing, physical safety, and access to services and opportunities. </w:t>
      </w:r>
    </w:p>
    <w:p w14:paraId="1D3A13FC" w14:textId="088FFD5A" w:rsidR="006C15DA" w:rsidRDefault="006C15DA" w:rsidP="006C15DA">
      <w:pPr>
        <w:spacing w:line="360" w:lineRule="auto"/>
        <w:contextualSpacing/>
        <w:rPr>
          <w:rFonts w:asciiTheme="majorHAnsi" w:hAnsiTheme="majorHAnsi" w:cstheme="minorHAnsi"/>
          <w:iCs/>
          <w:color w:val="000000" w:themeColor="text1"/>
        </w:rPr>
      </w:pPr>
    </w:p>
    <w:p w14:paraId="16F70817" w14:textId="77777777" w:rsidR="007813F2" w:rsidRPr="00EE05AA" w:rsidRDefault="007813F2" w:rsidP="006C15DA">
      <w:pPr>
        <w:spacing w:line="360" w:lineRule="auto"/>
        <w:contextualSpacing/>
        <w:rPr>
          <w:rFonts w:asciiTheme="majorHAnsi" w:hAnsiTheme="majorHAnsi" w:cstheme="minorHAnsi"/>
          <w:iCs/>
          <w:color w:val="000000" w:themeColor="text1"/>
        </w:rPr>
      </w:pPr>
    </w:p>
    <w:p w14:paraId="581D7E04" w14:textId="6D10AB7B" w:rsidR="006C15DA" w:rsidRPr="00301C85" w:rsidRDefault="00E86D41" w:rsidP="006C15DA">
      <w:pPr>
        <w:pStyle w:val="Normal1"/>
        <w:spacing w:line="360" w:lineRule="auto"/>
        <w:contextualSpacing/>
        <w:rPr>
          <w:rFonts w:asciiTheme="majorHAnsi" w:hAnsiTheme="majorHAnsi" w:cstheme="minorHAnsi"/>
          <w:i/>
          <w:iCs/>
        </w:rPr>
      </w:pPr>
      <w:r w:rsidRPr="00301C85">
        <w:rPr>
          <w:rFonts w:asciiTheme="majorHAnsi" w:hAnsiTheme="majorHAnsi" w:cstheme="minorHAnsi"/>
          <w:i/>
          <w:iCs/>
        </w:rPr>
        <w:t xml:space="preserve">5.2.1 </w:t>
      </w:r>
      <w:r w:rsidR="006C15DA" w:rsidRPr="00301C85">
        <w:rPr>
          <w:rFonts w:asciiTheme="majorHAnsi" w:hAnsiTheme="majorHAnsi" w:cstheme="minorHAnsi"/>
          <w:i/>
          <w:iCs/>
        </w:rPr>
        <w:t xml:space="preserve">Help-seeking </w:t>
      </w:r>
    </w:p>
    <w:p w14:paraId="7E7846A0" w14:textId="77777777"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r w:rsidRPr="00301C85">
        <w:rPr>
          <w:rFonts w:asciiTheme="majorHAnsi" w:hAnsiTheme="majorHAnsi" w:cstheme="minorHAnsi"/>
          <w:i w:val="0"/>
          <w:iCs/>
          <w:color w:val="000000" w:themeColor="text1"/>
          <w:sz w:val="24"/>
        </w:rPr>
        <w:t>In line with an orthodox interpretation of masculinity, there was concern among some young men that contacting practitioners for support was a sign of weakness, that if discovered by their peers, would result in hostility. This was an obstacle to help-seeking, including self-referring to, and attending, services:</w:t>
      </w:r>
    </w:p>
    <w:p w14:paraId="673A6CE5" w14:textId="77777777" w:rsidR="006C15DA" w:rsidRPr="00301C85" w:rsidRDefault="006C15DA" w:rsidP="006C15DA">
      <w:pPr>
        <w:rPr>
          <w:rFonts w:asciiTheme="majorHAnsi" w:hAnsiTheme="majorHAnsi"/>
        </w:rPr>
      </w:pPr>
    </w:p>
    <w:p w14:paraId="4770884C" w14:textId="34A71EC7" w:rsidR="006C15DA" w:rsidRPr="00301C85" w:rsidRDefault="006C15DA" w:rsidP="006C15DA">
      <w:pPr>
        <w:pStyle w:val="Caption1"/>
        <w:spacing w:after="0" w:line="360" w:lineRule="auto"/>
        <w:ind w:left="720"/>
        <w:contextualSpacing/>
        <w:jc w:val="left"/>
        <w:rPr>
          <w:rFonts w:asciiTheme="majorHAnsi" w:hAnsiTheme="majorHAnsi" w:cstheme="minorHAnsi"/>
          <w:iCs/>
          <w:color w:val="000000" w:themeColor="text1"/>
          <w:sz w:val="24"/>
        </w:rPr>
      </w:pPr>
      <w:r w:rsidRPr="00301C85">
        <w:rPr>
          <w:rFonts w:asciiTheme="majorHAnsi" w:hAnsiTheme="majorHAnsi" w:cstheme="minorHAnsi"/>
          <w:iCs/>
          <w:color w:val="000000" w:themeColor="text1"/>
          <w:sz w:val="24"/>
        </w:rPr>
        <w:t>If young men are seen in a weak way to their friends, who’ll be like, pick on them for it. I don’t know if that’s ever happened to you, it’s happened to me many times</w:t>
      </w:r>
      <w:r w:rsidR="00E257BB" w:rsidRPr="00301C85">
        <w:rPr>
          <w:rFonts w:asciiTheme="majorHAnsi" w:hAnsiTheme="majorHAnsi" w:cstheme="minorHAnsi"/>
          <w:iCs/>
          <w:color w:val="000000" w:themeColor="text1"/>
          <w:sz w:val="24"/>
        </w:rPr>
        <w:t>.</w:t>
      </w:r>
    </w:p>
    <w:p w14:paraId="4329B628" w14:textId="77777777" w:rsidR="006C15DA" w:rsidRPr="00301C85" w:rsidRDefault="006C15DA" w:rsidP="006C15DA">
      <w:pPr>
        <w:rPr>
          <w:rFonts w:asciiTheme="majorHAnsi" w:hAnsiTheme="majorHAnsi"/>
        </w:rPr>
      </w:pPr>
    </w:p>
    <w:p w14:paraId="323E019C" w14:textId="5D2133C4" w:rsidR="006C15DA" w:rsidRPr="00301C85" w:rsidRDefault="006C15DA" w:rsidP="006C15DA">
      <w:pPr>
        <w:pStyle w:val="Caption1"/>
        <w:spacing w:after="0" w:line="360" w:lineRule="auto"/>
        <w:ind w:left="720"/>
        <w:contextualSpacing/>
        <w:jc w:val="left"/>
        <w:rPr>
          <w:rFonts w:asciiTheme="majorHAnsi" w:hAnsiTheme="majorHAnsi" w:cstheme="minorHAnsi"/>
          <w:iCs/>
          <w:color w:val="000000" w:themeColor="text1"/>
          <w:sz w:val="24"/>
        </w:rPr>
      </w:pPr>
      <w:r w:rsidRPr="00301C85">
        <w:rPr>
          <w:rFonts w:asciiTheme="majorHAnsi" w:hAnsiTheme="majorHAnsi" w:cstheme="minorHAnsi"/>
          <w:iCs/>
          <w:color w:val="000000" w:themeColor="text1"/>
          <w:sz w:val="24"/>
        </w:rPr>
        <w:t>People pick on you because like, because you’re contacting someone else because you think you need help, and then they start mocking you for it. So, I think that’s a lot of the reason why people don’t actually contact them</w:t>
      </w:r>
      <w:r w:rsidR="00E257BB" w:rsidRPr="00301C85">
        <w:rPr>
          <w:rFonts w:asciiTheme="majorHAnsi" w:hAnsiTheme="majorHAnsi" w:cstheme="minorHAnsi"/>
          <w:iCs/>
          <w:color w:val="000000" w:themeColor="text1"/>
          <w:sz w:val="24"/>
        </w:rPr>
        <w:t>.</w:t>
      </w:r>
    </w:p>
    <w:p w14:paraId="0FD098CA" w14:textId="77777777" w:rsidR="006C15DA" w:rsidRPr="00301C85" w:rsidRDefault="006C15DA" w:rsidP="006C15DA">
      <w:pPr>
        <w:pStyle w:val="Normal1"/>
        <w:spacing w:line="360" w:lineRule="auto"/>
        <w:contextualSpacing/>
        <w:rPr>
          <w:rFonts w:asciiTheme="majorHAnsi" w:hAnsiTheme="majorHAnsi" w:cstheme="minorHAnsi"/>
        </w:rPr>
      </w:pPr>
    </w:p>
    <w:p w14:paraId="50822C10" w14:textId="751BB5EE"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r w:rsidRPr="00301C85">
        <w:rPr>
          <w:rFonts w:asciiTheme="majorHAnsi" w:hAnsiTheme="majorHAnsi" w:cstheme="minorHAnsi"/>
          <w:i w:val="0"/>
          <w:iCs/>
          <w:color w:val="000000" w:themeColor="text1"/>
          <w:sz w:val="24"/>
        </w:rPr>
        <w:t xml:space="preserve">Teasing between boys and young men for ‘breaches’ of codes of masculinity maintains the masculine integrity of the peer group, contributes to individuals’ perceived masculinity, and </w:t>
      </w:r>
      <w:r w:rsidRPr="00301C85">
        <w:rPr>
          <w:rFonts w:asciiTheme="majorHAnsi" w:hAnsiTheme="majorHAnsi" w:cstheme="minorHAnsi"/>
          <w:i w:val="0"/>
          <w:iCs/>
          <w:color w:val="000000" w:themeColor="text1"/>
          <w:sz w:val="24"/>
        </w:rPr>
        <w:lastRenderedPageBreak/>
        <w:t xml:space="preserve">importantly, produces and maintains hierarchy between group members (e.g., Whittle </w:t>
      </w:r>
      <w:r w:rsidR="0080697E" w:rsidRPr="0080697E">
        <w:rPr>
          <w:rFonts w:asciiTheme="majorHAnsi" w:hAnsiTheme="majorHAnsi" w:cstheme="minorHAnsi"/>
          <w:color w:val="000000" w:themeColor="text1"/>
          <w:sz w:val="24"/>
        </w:rPr>
        <w:t>et al.,</w:t>
      </w:r>
      <w:r w:rsidRPr="00301C85">
        <w:rPr>
          <w:rFonts w:asciiTheme="majorHAnsi" w:hAnsiTheme="majorHAnsi" w:cstheme="minorHAnsi"/>
          <w:i w:val="0"/>
          <w:iCs/>
          <w:color w:val="000000" w:themeColor="text1"/>
          <w:sz w:val="24"/>
        </w:rPr>
        <w:t xml:space="preserve"> 2019). Therefore, for the young men interviewed for this study the costs associated with help-seeking were extensive, with loss of status causing particular concern. </w:t>
      </w:r>
    </w:p>
    <w:p w14:paraId="2CE141DF" w14:textId="77777777" w:rsidR="006C15DA" w:rsidRPr="00301C85" w:rsidRDefault="006C15DA" w:rsidP="006C15DA">
      <w:pPr>
        <w:pStyle w:val="Normal1"/>
        <w:spacing w:line="360" w:lineRule="auto"/>
        <w:contextualSpacing/>
        <w:rPr>
          <w:rFonts w:asciiTheme="majorHAnsi" w:hAnsiTheme="majorHAnsi" w:cstheme="minorHAnsi"/>
        </w:rPr>
      </w:pPr>
    </w:p>
    <w:p w14:paraId="58A8DC9B" w14:textId="47E540DF"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r w:rsidRPr="00301C85">
        <w:rPr>
          <w:rFonts w:asciiTheme="majorHAnsi" w:hAnsiTheme="majorHAnsi" w:cstheme="minorHAnsi"/>
          <w:i w:val="0"/>
          <w:iCs/>
          <w:color w:val="000000" w:themeColor="text1"/>
          <w:sz w:val="24"/>
        </w:rPr>
        <w:t xml:space="preserve">Some practitioners observed that fears of feeling weak, or appearing weak to others, inhibited young men’s propensity to access services, or even acknowledge that they might need support: </w:t>
      </w:r>
    </w:p>
    <w:p w14:paraId="40F674E4" w14:textId="77777777" w:rsidR="00E257BB" w:rsidRPr="00301C85" w:rsidRDefault="00E257BB" w:rsidP="00E257BB"/>
    <w:p w14:paraId="612402EB" w14:textId="77777777" w:rsidR="006C15DA" w:rsidRPr="00301C85" w:rsidRDefault="006C15DA" w:rsidP="006C15DA">
      <w:pPr>
        <w:pStyle w:val="Normal1"/>
        <w:spacing w:line="360" w:lineRule="auto"/>
        <w:ind w:left="720"/>
        <w:contextualSpacing/>
        <w:rPr>
          <w:rFonts w:asciiTheme="majorHAnsi" w:hAnsiTheme="majorHAnsi" w:cstheme="minorHAnsi"/>
          <w:i/>
        </w:rPr>
      </w:pPr>
      <w:r w:rsidRPr="00301C85">
        <w:rPr>
          <w:rFonts w:asciiTheme="majorHAnsi" w:hAnsiTheme="majorHAnsi" w:cstheme="minorHAnsi"/>
          <w:i/>
          <w:color w:val="000000"/>
        </w:rPr>
        <w:t>I remember like in the past talking to somebody who said, “Oh I can’t tell my friends because they’ll think there’s something wrong with me”. And like it just really sort of upset me</w:t>
      </w:r>
    </w:p>
    <w:p w14:paraId="3D90DEB1" w14:textId="77777777" w:rsidR="006C15DA" w:rsidRPr="00301C85" w:rsidRDefault="006C15DA" w:rsidP="006C15DA">
      <w:pPr>
        <w:spacing w:line="360" w:lineRule="auto"/>
        <w:ind w:left="720"/>
        <w:contextualSpacing/>
        <w:rPr>
          <w:rFonts w:asciiTheme="majorHAnsi" w:hAnsiTheme="majorHAnsi" w:cstheme="minorHAnsi"/>
          <w:i/>
        </w:rPr>
      </w:pPr>
    </w:p>
    <w:p w14:paraId="79BC06A9" w14:textId="409146B2"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 feels like there’s something there, like a barrier there that they can’t, you know, they can’t acknowledge that something happened to them, as if it’s like a weakness really</w:t>
      </w:r>
      <w:r w:rsidR="00E257BB">
        <w:rPr>
          <w:rFonts w:asciiTheme="majorHAnsi" w:hAnsiTheme="majorHAnsi" w:cstheme="minorHAnsi"/>
          <w:i/>
        </w:rPr>
        <w:t>.</w:t>
      </w:r>
    </w:p>
    <w:p w14:paraId="3D5883D8" w14:textId="77777777" w:rsidR="006C15DA" w:rsidRPr="00EE05AA" w:rsidRDefault="006C15DA" w:rsidP="006C15DA">
      <w:pPr>
        <w:spacing w:line="360" w:lineRule="auto"/>
        <w:contextualSpacing/>
        <w:rPr>
          <w:rFonts w:asciiTheme="majorHAnsi" w:hAnsiTheme="majorHAnsi" w:cstheme="minorHAnsi"/>
          <w:i/>
        </w:rPr>
      </w:pPr>
    </w:p>
    <w:p w14:paraId="07C6D874" w14:textId="76DD4825" w:rsidR="006C15DA" w:rsidRPr="00301C85" w:rsidRDefault="00E86D41" w:rsidP="006C15DA">
      <w:pPr>
        <w:pStyle w:val="Normal1"/>
        <w:spacing w:line="360" w:lineRule="auto"/>
        <w:contextualSpacing/>
        <w:rPr>
          <w:rFonts w:asciiTheme="majorHAnsi" w:hAnsiTheme="majorHAnsi" w:cstheme="minorHAnsi"/>
          <w:i/>
          <w:iCs/>
        </w:rPr>
      </w:pPr>
      <w:r w:rsidRPr="00301C85">
        <w:rPr>
          <w:rFonts w:asciiTheme="majorHAnsi" w:hAnsiTheme="majorHAnsi" w:cstheme="minorHAnsi"/>
          <w:i/>
          <w:iCs/>
        </w:rPr>
        <w:t xml:space="preserve">5.2.2 </w:t>
      </w:r>
      <w:r w:rsidR="006C15DA" w:rsidRPr="00301C85">
        <w:rPr>
          <w:rFonts w:asciiTheme="majorHAnsi" w:hAnsiTheme="majorHAnsi" w:cstheme="minorHAnsi"/>
          <w:i/>
          <w:iCs/>
        </w:rPr>
        <w:t xml:space="preserve">Restricted emotionality </w:t>
      </w:r>
    </w:p>
    <w:p w14:paraId="726A8B97" w14:textId="77777777"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r w:rsidRPr="00301C85">
        <w:rPr>
          <w:rFonts w:asciiTheme="majorHAnsi" w:hAnsiTheme="majorHAnsi" w:cstheme="minorHAnsi"/>
          <w:i w:val="0"/>
          <w:iCs/>
          <w:color w:val="000000" w:themeColor="text1"/>
          <w:sz w:val="24"/>
        </w:rPr>
        <w:t xml:space="preserve">Not unrelated to concerns that communicating the need for help was non-masculine were issues relating to restricted emotionality; or as one young man articulated it, the “‘real men don’t cry’ kind of stuff”. Two of the young men described a belief that men are not socialised to be emotionally expressive, or taught to understand their feelings: </w:t>
      </w:r>
    </w:p>
    <w:p w14:paraId="7C7A1B8F" w14:textId="77777777" w:rsidR="006C15DA" w:rsidRPr="00EE05AA" w:rsidRDefault="006C15DA" w:rsidP="006C15DA">
      <w:pPr>
        <w:rPr>
          <w:rFonts w:asciiTheme="majorHAnsi" w:hAnsiTheme="majorHAnsi"/>
        </w:rPr>
      </w:pPr>
    </w:p>
    <w:p w14:paraId="738038F4" w14:textId="40F0D340" w:rsidR="006C15DA" w:rsidRPr="00EE05AA" w:rsidRDefault="006C15DA" w:rsidP="006C15DA">
      <w:pPr>
        <w:spacing w:line="360" w:lineRule="auto"/>
        <w:contextualSpacing/>
        <w:rPr>
          <w:rFonts w:asciiTheme="majorHAnsi" w:hAnsiTheme="majorHAnsi" w:cstheme="minorHAnsi"/>
          <w:i/>
          <w:iCs/>
        </w:rPr>
      </w:pPr>
      <w:r w:rsidRPr="00EE05AA">
        <w:rPr>
          <w:rFonts w:asciiTheme="majorHAnsi" w:hAnsiTheme="majorHAnsi" w:cstheme="minorHAnsi"/>
        </w:rPr>
        <w:tab/>
      </w:r>
      <w:r w:rsidRPr="00EE05AA">
        <w:rPr>
          <w:rFonts w:asciiTheme="majorHAnsi" w:hAnsiTheme="majorHAnsi" w:cstheme="minorHAnsi"/>
          <w:i/>
          <w:iCs/>
        </w:rPr>
        <w:t>I was always shown to bottle [my emotions] up</w:t>
      </w:r>
      <w:r w:rsidR="00E257BB">
        <w:rPr>
          <w:rFonts w:asciiTheme="majorHAnsi" w:hAnsiTheme="majorHAnsi" w:cstheme="minorHAnsi"/>
          <w:i/>
          <w:iCs/>
        </w:rPr>
        <w:t>.</w:t>
      </w:r>
    </w:p>
    <w:p w14:paraId="1915DA29" w14:textId="77777777" w:rsidR="006C15DA" w:rsidRPr="00EE05AA" w:rsidRDefault="006C15DA" w:rsidP="006C15DA">
      <w:pPr>
        <w:spacing w:line="360" w:lineRule="auto"/>
        <w:contextualSpacing/>
        <w:rPr>
          <w:rFonts w:asciiTheme="majorHAnsi" w:hAnsiTheme="majorHAnsi" w:cstheme="minorHAnsi"/>
          <w:i/>
          <w:iCs/>
        </w:rPr>
      </w:pPr>
    </w:p>
    <w:p w14:paraId="765F118F" w14:textId="0738F58F"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We've got feelings, we've got everything else as well; we're, in my opinion, we're just not shown how to express it, it's not taught at all in kind of primary schools and stuff like that, you're not, you're not taught how to show your emotion</w:t>
      </w:r>
      <w:r w:rsidR="00E257BB">
        <w:rPr>
          <w:rFonts w:asciiTheme="majorHAnsi" w:hAnsiTheme="majorHAnsi" w:cstheme="minorHAnsi"/>
          <w:i/>
          <w:iCs/>
        </w:rPr>
        <w:t>.</w:t>
      </w:r>
      <w:r w:rsidRPr="00EE05AA">
        <w:rPr>
          <w:rFonts w:asciiTheme="majorHAnsi" w:hAnsiTheme="majorHAnsi" w:cstheme="minorHAnsi"/>
          <w:i/>
          <w:iCs/>
        </w:rPr>
        <w:t xml:space="preserve"> </w:t>
      </w:r>
    </w:p>
    <w:p w14:paraId="3831A3C5" w14:textId="77777777" w:rsidR="006C15DA" w:rsidRPr="00EE05AA" w:rsidRDefault="006C15DA" w:rsidP="006C15DA">
      <w:pPr>
        <w:pStyle w:val="Normal1"/>
        <w:spacing w:line="360" w:lineRule="auto"/>
        <w:contextualSpacing/>
        <w:rPr>
          <w:rFonts w:asciiTheme="majorHAnsi" w:hAnsiTheme="majorHAnsi" w:cstheme="minorHAnsi"/>
          <w:sz w:val="22"/>
          <w:szCs w:val="22"/>
        </w:rPr>
      </w:pPr>
    </w:p>
    <w:p w14:paraId="63648A1E" w14:textId="77777777"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r w:rsidRPr="00301C85">
        <w:rPr>
          <w:rFonts w:asciiTheme="majorHAnsi" w:hAnsiTheme="majorHAnsi" w:cstheme="minorHAnsi"/>
          <w:i w:val="0"/>
          <w:iCs/>
          <w:color w:val="000000" w:themeColor="text1"/>
          <w:sz w:val="24"/>
        </w:rPr>
        <w:t>Many of the practitioners also believed that young men’s restricted emotionality, and a lack of “emotional intelligence</w:t>
      </w:r>
      <w:proofErr w:type="gramStart"/>
      <w:r w:rsidRPr="00301C85">
        <w:rPr>
          <w:rFonts w:asciiTheme="majorHAnsi" w:hAnsiTheme="majorHAnsi" w:cstheme="minorHAnsi"/>
          <w:i w:val="0"/>
          <w:iCs/>
          <w:color w:val="000000" w:themeColor="text1"/>
          <w:sz w:val="24"/>
        </w:rPr>
        <w:t>” ,</w:t>
      </w:r>
      <w:proofErr w:type="gramEnd"/>
      <w:r w:rsidRPr="00301C85">
        <w:rPr>
          <w:rFonts w:asciiTheme="majorHAnsi" w:hAnsiTheme="majorHAnsi" w:cstheme="minorHAnsi"/>
          <w:i w:val="0"/>
          <w:iCs/>
          <w:color w:val="000000" w:themeColor="text1"/>
          <w:sz w:val="24"/>
        </w:rPr>
        <w:t xml:space="preserve"> posed particular challenges for working with young men that were </w:t>
      </w:r>
      <w:r w:rsidRPr="00301C85">
        <w:rPr>
          <w:rFonts w:asciiTheme="majorHAnsi" w:hAnsiTheme="majorHAnsi" w:cstheme="minorHAnsi"/>
          <w:i w:val="0"/>
          <w:iCs/>
          <w:color w:val="000000" w:themeColor="text1"/>
          <w:sz w:val="24"/>
        </w:rPr>
        <w:lastRenderedPageBreak/>
        <w:t xml:space="preserve">not faced when working with young women. According to the practitioners, young men’s restricted emotionality prevented them from accessing services, inhibited their communication with their peers, and caused them to seek alternative, less adaptive, outlets for their feelings: </w:t>
      </w:r>
    </w:p>
    <w:p w14:paraId="23137AAA" w14:textId="77777777" w:rsidR="006C15DA" w:rsidRPr="00301C85" w:rsidRDefault="006C15DA" w:rsidP="006C15DA">
      <w:pPr>
        <w:rPr>
          <w:rFonts w:asciiTheme="majorHAnsi" w:hAnsiTheme="majorHAnsi"/>
        </w:rPr>
      </w:pPr>
    </w:p>
    <w:p w14:paraId="3D559676" w14:textId="77777777" w:rsidR="006C15DA" w:rsidRPr="00301C85" w:rsidRDefault="006C15DA" w:rsidP="006C15DA">
      <w:pPr>
        <w:pStyle w:val="Normal1"/>
        <w:spacing w:line="360" w:lineRule="auto"/>
        <w:ind w:left="720"/>
        <w:contextualSpacing/>
        <w:rPr>
          <w:rFonts w:asciiTheme="majorHAnsi" w:hAnsiTheme="majorHAnsi" w:cstheme="minorHAnsi"/>
          <w:i/>
          <w:iCs/>
          <w:color w:val="000000"/>
        </w:rPr>
      </w:pPr>
      <w:r w:rsidRPr="00301C85">
        <w:rPr>
          <w:rFonts w:asciiTheme="majorHAnsi" w:hAnsiTheme="majorHAnsi" w:cstheme="minorHAnsi"/>
          <w:i/>
          <w:iCs/>
          <w:color w:val="000000"/>
        </w:rPr>
        <w:t>We probably get more referrals for girls than we do for boys. Whether girls are more able to articulate their kind of emotions and emotional needs…. And I guess, for boys, do they, does that express itself in a different way, as in, you know, does that come out through anger, frustration…?</w:t>
      </w:r>
    </w:p>
    <w:p w14:paraId="177A0A61" w14:textId="77777777" w:rsidR="006C15DA" w:rsidRPr="00301C85" w:rsidRDefault="006C15DA" w:rsidP="006C15DA">
      <w:pPr>
        <w:pStyle w:val="Normal1"/>
        <w:spacing w:line="360" w:lineRule="auto"/>
        <w:contextualSpacing/>
        <w:rPr>
          <w:rFonts w:asciiTheme="majorHAnsi" w:hAnsiTheme="majorHAnsi" w:cstheme="minorHAnsi"/>
        </w:rPr>
      </w:pPr>
    </w:p>
    <w:p w14:paraId="3FECF917" w14:textId="77777777" w:rsidR="006C15DA" w:rsidRPr="00301C85" w:rsidRDefault="006C15DA" w:rsidP="006C15DA">
      <w:pPr>
        <w:pStyle w:val="Normal1"/>
        <w:spacing w:line="360" w:lineRule="auto"/>
        <w:ind w:left="720"/>
        <w:contextualSpacing/>
        <w:rPr>
          <w:rFonts w:asciiTheme="majorHAnsi" w:hAnsiTheme="majorHAnsi" w:cstheme="minorHAnsi"/>
          <w:i/>
          <w:color w:val="000000"/>
        </w:rPr>
      </w:pPr>
      <w:r w:rsidRPr="00301C85">
        <w:rPr>
          <w:rFonts w:asciiTheme="majorHAnsi" w:hAnsiTheme="majorHAnsi" w:cstheme="minorHAnsi"/>
          <w:i/>
          <w:color w:val="000000"/>
        </w:rPr>
        <w:t>Young men are taught not to talk to people, and not to show emotion, and not to be honest, and fighting is the way to deal with, or being angry is the way to deal with some of these complex things.</w:t>
      </w:r>
    </w:p>
    <w:p w14:paraId="011CB6A2" w14:textId="77777777" w:rsidR="006C15DA" w:rsidRPr="00EE05AA" w:rsidRDefault="006C15DA" w:rsidP="006C15DA">
      <w:pPr>
        <w:pStyle w:val="Normal1"/>
        <w:spacing w:line="360" w:lineRule="auto"/>
        <w:contextualSpacing/>
        <w:rPr>
          <w:rFonts w:asciiTheme="majorHAnsi" w:hAnsiTheme="majorHAnsi" w:cstheme="minorHAnsi"/>
          <w:i/>
          <w:sz w:val="22"/>
          <w:szCs w:val="22"/>
        </w:rPr>
      </w:pPr>
    </w:p>
    <w:p w14:paraId="45971F1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There was also a concern that difficulties young men encountered in expressing emotionality was associated with the creation of maladaptive online identities, increasing the potential for social isolation, and even criminality: </w:t>
      </w:r>
    </w:p>
    <w:p w14:paraId="518FD48C" w14:textId="77777777" w:rsidR="006C15DA" w:rsidRPr="00EE05AA" w:rsidRDefault="006C15DA" w:rsidP="006C15DA">
      <w:pPr>
        <w:spacing w:line="360" w:lineRule="auto"/>
        <w:ind w:firstLine="720"/>
        <w:contextualSpacing/>
        <w:rPr>
          <w:rFonts w:asciiTheme="majorHAnsi" w:hAnsiTheme="majorHAnsi" w:cstheme="minorHAnsi"/>
        </w:rPr>
      </w:pPr>
    </w:p>
    <w:p w14:paraId="15D9F074" w14:textId="6767CC7E"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it’s far more difficult for young men across the board to talk about feelings and relationships, and get to know people in real life, so doing it online where you can hide behind a keyboard, you can try on different identities and it’s far easier</w:t>
      </w:r>
      <w:r w:rsidR="00E257BB">
        <w:rPr>
          <w:rFonts w:asciiTheme="majorHAnsi" w:hAnsiTheme="majorHAnsi" w:cstheme="minorHAnsi"/>
          <w:i/>
        </w:rPr>
        <w:t>.</w:t>
      </w:r>
    </w:p>
    <w:p w14:paraId="64EA53B3" w14:textId="77777777" w:rsidR="006C15DA" w:rsidRPr="00EE05AA" w:rsidRDefault="006C15DA" w:rsidP="006C15DA">
      <w:pPr>
        <w:spacing w:line="360" w:lineRule="auto"/>
        <w:ind w:left="720"/>
        <w:contextualSpacing/>
        <w:rPr>
          <w:rFonts w:asciiTheme="majorHAnsi" w:hAnsiTheme="majorHAnsi" w:cstheme="minorHAnsi"/>
          <w:i/>
        </w:rPr>
      </w:pPr>
    </w:p>
    <w:p w14:paraId="0C99F7C3" w14:textId="7AFEA634"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…posting absolute crap on there just to try and get some acceptance, especially if they’ve got special needs then they haven’t got a clue. They’re too busy trying to be cool because they’ve seen young people who they think are cool posting stuff, you know, the autistic kids going around with guns and getting arrested with knives</w:t>
      </w:r>
      <w:r w:rsidR="00E257BB">
        <w:rPr>
          <w:rFonts w:asciiTheme="majorHAnsi" w:hAnsiTheme="majorHAnsi" w:cstheme="minorHAnsi"/>
          <w:i/>
        </w:rPr>
        <w:t>.</w:t>
      </w:r>
    </w:p>
    <w:p w14:paraId="09C29F60" w14:textId="77777777" w:rsidR="006C15DA" w:rsidRPr="00EE05AA" w:rsidRDefault="006C15DA" w:rsidP="006C15DA">
      <w:pPr>
        <w:pStyle w:val="Normal1"/>
        <w:spacing w:line="360" w:lineRule="auto"/>
        <w:contextualSpacing/>
        <w:rPr>
          <w:rFonts w:asciiTheme="majorHAnsi" w:hAnsiTheme="majorHAnsi" w:cstheme="minorHAnsi"/>
          <w:sz w:val="22"/>
          <w:szCs w:val="22"/>
        </w:rPr>
      </w:pPr>
    </w:p>
    <w:p w14:paraId="0A68EDCF"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lastRenderedPageBreak/>
        <w:t xml:space="preserve">Some practitioners reported that training young men to frame emotionality in different terms – for example, by emphasising the </w:t>
      </w:r>
      <w:r w:rsidRPr="00EE05AA">
        <w:rPr>
          <w:rFonts w:asciiTheme="majorHAnsi" w:hAnsiTheme="majorHAnsi" w:cstheme="minorHAnsi"/>
          <w:i/>
        </w:rPr>
        <w:t xml:space="preserve">masculinising </w:t>
      </w:r>
      <w:r w:rsidRPr="00EE05AA">
        <w:rPr>
          <w:rFonts w:asciiTheme="majorHAnsi" w:hAnsiTheme="majorHAnsi" w:cstheme="minorHAnsi"/>
        </w:rPr>
        <w:t>potential of expressing emotionality – was an important and effective aspect of the support they offered:</w:t>
      </w:r>
    </w:p>
    <w:p w14:paraId="7677E00F" w14:textId="77777777" w:rsidR="006C15DA" w:rsidRPr="00EE05AA" w:rsidRDefault="006C15DA" w:rsidP="006C15DA">
      <w:pPr>
        <w:spacing w:line="360" w:lineRule="auto"/>
        <w:ind w:firstLine="720"/>
        <w:contextualSpacing/>
        <w:rPr>
          <w:rFonts w:asciiTheme="majorHAnsi" w:hAnsiTheme="majorHAnsi" w:cstheme="minorHAnsi"/>
        </w:rPr>
      </w:pPr>
    </w:p>
    <w:p w14:paraId="6FDB92B0" w14:textId="31C64AF9" w:rsidR="006C15DA" w:rsidRPr="00EE05AA" w:rsidRDefault="006C15DA" w:rsidP="006C15DA">
      <w:pPr>
        <w:spacing w:line="360" w:lineRule="auto"/>
        <w:ind w:left="720"/>
        <w:contextualSpacing/>
        <w:rPr>
          <w:rFonts w:asciiTheme="majorHAnsi" w:hAnsiTheme="majorHAnsi" w:cstheme="minorHAnsi"/>
          <w:b/>
          <w:i/>
          <w:iCs/>
        </w:rPr>
      </w:pPr>
      <w:r w:rsidRPr="00EE05AA">
        <w:rPr>
          <w:rFonts w:asciiTheme="majorHAnsi" w:hAnsiTheme="majorHAnsi" w:cstheme="minorHAnsi"/>
          <w:i/>
          <w:iCs/>
        </w:rPr>
        <w:t>He had been hearing [“be a man” and “man up”] through this group of other young people he’d been spending time with, who sounded kind of gang related. So, we talked about the things that he hides from other people, so “What do you hide underneath your mask?” “Well anger, upset,” you know, all of this stuff. So, we just spent a bit of time unpicking how to manage that and it’s ok to feel sensitive and to feel emotional</w:t>
      </w:r>
      <w:r w:rsidR="00E257BB">
        <w:rPr>
          <w:rFonts w:asciiTheme="majorHAnsi" w:hAnsiTheme="majorHAnsi" w:cstheme="minorHAnsi"/>
          <w:i/>
          <w:iCs/>
        </w:rPr>
        <w:t>.</w:t>
      </w:r>
    </w:p>
    <w:p w14:paraId="559751DD" w14:textId="77777777" w:rsidR="006C15DA" w:rsidRPr="00EE05AA" w:rsidRDefault="006C15DA" w:rsidP="006C15DA">
      <w:pPr>
        <w:spacing w:line="360" w:lineRule="auto"/>
        <w:ind w:left="720"/>
        <w:contextualSpacing/>
        <w:rPr>
          <w:rFonts w:asciiTheme="majorHAnsi" w:hAnsiTheme="majorHAnsi" w:cstheme="minorHAnsi"/>
          <w:b/>
          <w:i/>
          <w:iCs/>
        </w:rPr>
      </w:pPr>
    </w:p>
    <w:p w14:paraId="292C62BA" w14:textId="77777777" w:rsidR="006C15DA" w:rsidRPr="00EE05AA" w:rsidRDefault="006C15DA" w:rsidP="006C15DA">
      <w:pPr>
        <w:spacing w:line="360" w:lineRule="auto"/>
        <w:ind w:left="720"/>
        <w:contextualSpacing/>
        <w:rPr>
          <w:rFonts w:asciiTheme="majorHAnsi" w:hAnsiTheme="majorHAnsi" w:cstheme="minorHAnsi"/>
          <w:b/>
          <w:i/>
          <w:iCs/>
        </w:rPr>
      </w:pPr>
      <w:r w:rsidRPr="00EE05AA">
        <w:rPr>
          <w:rFonts w:asciiTheme="majorHAnsi" w:hAnsiTheme="majorHAnsi" w:cstheme="minorHAnsi"/>
          <w:i/>
          <w:iCs/>
        </w:rPr>
        <w:t xml:space="preserve">They feel like they have to reach out to someone, it can be a really big emotional impact for them to be able to break down those barriers so that you can engage with someone so that you can get support, that’s admitting weakness and also showing </w:t>
      </w:r>
      <w:proofErr w:type="gramStart"/>
      <w:r w:rsidRPr="00EE05AA">
        <w:rPr>
          <w:rFonts w:asciiTheme="majorHAnsi" w:hAnsiTheme="majorHAnsi" w:cstheme="minorHAnsi"/>
          <w:i/>
          <w:iCs/>
        </w:rPr>
        <w:t>strength</w:t>
      </w:r>
      <w:proofErr w:type="gramEnd"/>
      <w:r w:rsidRPr="00EE05AA">
        <w:rPr>
          <w:rFonts w:asciiTheme="majorHAnsi" w:hAnsiTheme="majorHAnsi" w:cstheme="minorHAnsi"/>
          <w:i/>
          <w:iCs/>
        </w:rPr>
        <w:t xml:space="preserve"> isn’t it?</w:t>
      </w:r>
    </w:p>
    <w:p w14:paraId="3F70BF7D" w14:textId="77777777" w:rsidR="007813F2" w:rsidRPr="00EE05AA" w:rsidRDefault="007813F2" w:rsidP="006C15DA">
      <w:pPr>
        <w:pStyle w:val="Normal1"/>
        <w:spacing w:line="360" w:lineRule="auto"/>
        <w:contextualSpacing/>
        <w:rPr>
          <w:rFonts w:asciiTheme="majorHAnsi" w:hAnsiTheme="majorHAnsi" w:cstheme="minorHAnsi"/>
          <w:b/>
          <w:sz w:val="22"/>
          <w:szCs w:val="22"/>
        </w:rPr>
      </w:pPr>
    </w:p>
    <w:p w14:paraId="3A6B5680" w14:textId="1519D926" w:rsidR="006C15DA" w:rsidRPr="00301C85" w:rsidRDefault="00E86D41" w:rsidP="006C15DA">
      <w:pPr>
        <w:pStyle w:val="Normal1"/>
        <w:spacing w:line="360" w:lineRule="auto"/>
        <w:contextualSpacing/>
        <w:rPr>
          <w:rFonts w:asciiTheme="majorHAnsi" w:hAnsiTheme="majorHAnsi" w:cstheme="minorHAnsi"/>
          <w:i/>
          <w:iCs/>
        </w:rPr>
      </w:pPr>
      <w:r w:rsidRPr="00301C85">
        <w:rPr>
          <w:rFonts w:asciiTheme="majorHAnsi" w:hAnsiTheme="majorHAnsi" w:cstheme="minorHAnsi"/>
          <w:i/>
          <w:iCs/>
        </w:rPr>
        <w:t xml:space="preserve">5.2.3 </w:t>
      </w:r>
      <w:r w:rsidR="006C15DA" w:rsidRPr="00301C85">
        <w:rPr>
          <w:rFonts w:asciiTheme="majorHAnsi" w:hAnsiTheme="majorHAnsi" w:cstheme="minorHAnsi"/>
          <w:i/>
          <w:iCs/>
        </w:rPr>
        <w:t>Role models</w:t>
      </w:r>
    </w:p>
    <w:p w14:paraId="42E22EBD" w14:textId="77777777" w:rsidR="006C15DA" w:rsidRPr="00301C85" w:rsidRDefault="006C15DA" w:rsidP="006C15DA">
      <w:pPr>
        <w:pStyle w:val="Normal1"/>
        <w:spacing w:line="360" w:lineRule="auto"/>
        <w:contextualSpacing/>
        <w:rPr>
          <w:rFonts w:asciiTheme="majorHAnsi" w:hAnsiTheme="majorHAnsi" w:cstheme="minorHAnsi"/>
        </w:rPr>
      </w:pPr>
      <w:r w:rsidRPr="00301C85">
        <w:rPr>
          <w:rFonts w:asciiTheme="majorHAnsi" w:hAnsiTheme="majorHAnsi" w:cstheme="minorHAnsi"/>
        </w:rPr>
        <w:t>Both young men and practitioners attributed young men’s difficulties with emotionality, and the associated consequences, to an absence of male role models, or the presence of inappropriate role models. Although not all young men deemed the availability of male practitioners important, some articulated the benefit of positive male role models in the services they had accessed:</w:t>
      </w:r>
    </w:p>
    <w:p w14:paraId="7A27D203" w14:textId="77777777" w:rsidR="006C15DA" w:rsidRPr="00301C85" w:rsidRDefault="006C15DA" w:rsidP="006C15DA">
      <w:pPr>
        <w:pStyle w:val="Normal1"/>
        <w:spacing w:line="360" w:lineRule="auto"/>
        <w:contextualSpacing/>
        <w:rPr>
          <w:rFonts w:asciiTheme="majorHAnsi" w:hAnsiTheme="majorHAnsi" w:cstheme="minorHAnsi"/>
        </w:rPr>
      </w:pPr>
    </w:p>
    <w:p w14:paraId="64B0B69F" w14:textId="47180C16" w:rsidR="006C15DA" w:rsidRPr="00301C85" w:rsidRDefault="006C15DA" w:rsidP="006C15DA">
      <w:pPr>
        <w:pStyle w:val="Normal1"/>
        <w:spacing w:line="360" w:lineRule="auto"/>
        <w:ind w:left="720"/>
        <w:contextualSpacing/>
        <w:rPr>
          <w:rFonts w:asciiTheme="majorHAnsi" w:hAnsiTheme="majorHAnsi" w:cstheme="minorHAnsi"/>
        </w:rPr>
      </w:pPr>
      <w:r w:rsidRPr="00301C85">
        <w:rPr>
          <w:rFonts w:asciiTheme="majorHAnsi" w:hAnsiTheme="majorHAnsi" w:cstheme="minorHAnsi"/>
          <w:i/>
          <w:iCs/>
          <w:color w:val="000000"/>
        </w:rPr>
        <w:t>I couldn't believe what was going on [in the service] because I'd never seen it before, like the emotion and everything like that . . . I was almost scared of men growing up, there was, like I don't want to go into it too much but like abuse from a stepdad and stuff like that, it almost, I, you either go one way or the other, you go, you grow up wanting to beat everyone up or you grow up scared of everyone</w:t>
      </w:r>
      <w:r w:rsidR="00E257BB" w:rsidRPr="00301C85">
        <w:rPr>
          <w:rFonts w:asciiTheme="majorHAnsi" w:hAnsiTheme="majorHAnsi" w:cstheme="minorHAnsi"/>
          <w:i/>
          <w:iCs/>
          <w:color w:val="000000"/>
        </w:rPr>
        <w:t>.</w:t>
      </w:r>
    </w:p>
    <w:p w14:paraId="6A5AE393" w14:textId="77777777" w:rsidR="006C15DA" w:rsidRPr="00301C85" w:rsidRDefault="006C15DA" w:rsidP="006C15DA">
      <w:pPr>
        <w:pStyle w:val="Normal1"/>
        <w:spacing w:line="360" w:lineRule="auto"/>
        <w:contextualSpacing/>
        <w:rPr>
          <w:rFonts w:asciiTheme="majorHAnsi" w:hAnsiTheme="majorHAnsi" w:cstheme="minorHAnsi"/>
        </w:rPr>
      </w:pPr>
    </w:p>
    <w:p w14:paraId="3BD97B3C" w14:textId="33D80832" w:rsidR="006C15DA" w:rsidRPr="00301C85" w:rsidRDefault="006C15DA" w:rsidP="006C15DA">
      <w:pPr>
        <w:pStyle w:val="Normal1"/>
        <w:spacing w:line="360" w:lineRule="auto"/>
        <w:ind w:left="720"/>
        <w:contextualSpacing/>
        <w:rPr>
          <w:rFonts w:asciiTheme="majorHAnsi" w:hAnsiTheme="majorHAnsi" w:cstheme="minorHAnsi"/>
          <w:i/>
          <w:color w:val="000000"/>
        </w:rPr>
      </w:pPr>
      <w:r w:rsidRPr="00301C85">
        <w:rPr>
          <w:rFonts w:asciiTheme="majorHAnsi" w:hAnsiTheme="majorHAnsi" w:cstheme="minorHAnsi"/>
          <w:i/>
          <w:color w:val="000000"/>
        </w:rPr>
        <w:t xml:space="preserve">It </w:t>
      </w:r>
      <w:proofErr w:type="gramStart"/>
      <w:r w:rsidRPr="00301C85">
        <w:rPr>
          <w:rFonts w:asciiTheme="majorHAnsi" w:hAnsiTheme="majorHAnsi" w:cstheme="minorHAnsi"/>
          <w:i/>
          <w:color w:val="000000"/>
        </w:rPr>
        <w:t>sort</w:t>
      </w:r>
      <w:proofErr w:type="gramEnd"/>
      <w:r w:rsidRPr="00301C85">
        <w:rPr>
          <w:rFonts w:asciiTheme="majorHAnsi" w:hAnsiTheme="majorHAnsi" w:cstheme="minorHAnsi"/>
          <w:i/>
          <w:color w:val="000000"/>
        </w:rPr>
        <w:t xml:space="preserve"> of just gave me a whole new way of thinking, gave me all these positive male role models that I could look up to that I could bounce off</w:t>
      </w:r>
      <w:r w:rsidR="00E257BB" w:rsidRPr="00301C85">
        <w:rPr>
          <w:rFonts w:asciiTheme="majorHAnsi" w:hAnsiTheme="majorHAnsi" w:cstheme="minorHAnsi"/>
          <w:i/>
          <w:color w:val="000000"/>
        </w:rPr>
        <w:t>.</w:t>
      </w:r>
    </w:p>
    <w:p w14:paraId="215977CD" w14:textId="77777777" w:rsidR="006C15DA" w:rsidRPr="00301C85" w:rsidRDefault="006C15DA" w:rsidP="006C15DA">
      <w:pPr>
        <w:pStyle w:val="Normal1"/>
        <w:spacing w:line="360" w:lineRule="auto"/>
        <w:ind w:left="720"/>
        <w:contextualSpacing/>
        <w:rPr>
          <w:rFonts w:asciiTheme="majorHAnsi" w:hAnsiTheme="majorHAnsi" w:cstheme="minorHAnsi"/>
          <w:i/>
        </w:rPr>
      </w:pPr>
    </w:p>
    <w:p w14:paraId="0055C67F" w14:textId="77777777" w:rsidR="006C15DA" w:rsidRPr="00301C85" w:rsidRDefault="006C15DA" w:rsidP="006C15DA">
      <w:pPr>
        <w:pStyle w:val="Normal1"/>
        <w:spacing w:line="360" w:lineRule="auto"/>
        <w:contextualSpacing/>
        <w:rPr>
          <w:rFonts w:asciiTheme="majorHAnsi" w:hAnsiTheme="majorHAnsi" w:cstheme="minorHAnsi"/>
        </w:rPr>
      </w:pPr>
      <w:r w:rsidRPr="00301C85">
        <w:rPr>
          <w:rFonts w:asciiTheme="majorHAnsi" w:hAnsiTheme="majorHAnsi" w:cstheme="minorHAnsi"/>
        </w:rPr>
        <w:t>From the perspective of practitioners, it was not only an absence of effective male role models in the family home that was notable, but also the over-representation of women employed by services and organisations that work with young men:</w:t>
      </w:r>
    </w:p>
    <w:p w14:paraId="75ACB380" w14:textId="77777777" w:rsidR="006C15DA" w:rsidRPr="00EE05AA" w:rsidRDefault="006C15DA" w:rsidP="006C15DA">
      <w:pPr>
        <w:pStyle w:val="Normal1"/>
        <w:spacing w:line="360" w:lineRule="auto"/>
        <w:ind w:firstLine="720"/>
        <w:contextualSpacing/>
        <w:rPr>
          <w:rFonts w:asciiTheme="majorHAnsi" w:hAnsiTheme="majorHAnsi" w:cstheme="minorHAnsi"/>
          <w:sz w:val="22"/>
          <w:szCs w:val="22"/>
        </w:rPr>
      </w:pPr>
    </w:p>
    <w:p w14:paraId="7D6F2CA2" w14:textId="55B1D6C6"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The majority of workers in that space are female, and no judgement of that, they are fantastic people doing a fantastic and hard and difficult job with dwindling resources, however, what we felt was that having male role models alongside these young men would be of immense value to them</w:t>
      </w:r>
      <w:r w:rsidR="00301C85">
        <w:rPr>
          <w:rFonts w:asciiTheme="majorHAnsi" w:hAnsiTheme="majorHAnsi" w:cstheme="minorHAnsi"/>
          <w:i/>
        </w:rPr>
        <w:t>.</w:t>
      </w:r>
    </w:p>
    <w:p w14:paraId="2D104A19" w14:textId="77777777" w:rsidR="006C15DA" w:rsidRPr="00EE05AA" w:rsidRDefault="006C15DA" w:rsidP="006C15DA">
      <w:pPr>
        <w:spacing w:line="360" w:lineRule="auto"/>
        <w:ind w:left="720"/>
        <w:contextualSpacing/>
        <w:rPr>
          <w:rFonts w:asciiTheme="majorHAnsi" w:hAnsiTheme="majorHAnsi" w:cstheme="minorHAnsi"/>
          <w:i/>
        </w:rPr>
      </w:pPr>
    </w:p>
    <w:p w14:paraId="64F775AD" w14:textId="1CAC3284" w:rsidR="006C15DA" w:rsidRPr="00301C85" w:rsidRDefault="006C15DA" w:rsidP="006C15DA">
      <w:pPr>
        <w:pStyle w:val="Normal1"/>
        <w:spacing w:line="360" w:lineRule="auto"/>
        <w:ind w:left="720"/>
        <w:contextualSpacing/>
        <w:rPr>
          <w:rFonts w:asciiTheme="majorHAnsi" w:hAnsiTheme="majorHAnsi" w:cstheme="minorHAnsi"/>
          <w:i/>
        </w:rPr>
      </w:pPr>
      <w:r w:rsidRPr="00301C85">
        <w:rPr>
          <w:rFonts w:asciiTheme="majorHAnsi" w:hAnsiTheme="majorHAnsi" w:cstheme="minorHAnsi"/>
          <w:i/>
        </w:rPr>
        <w:t>Potentially he might have felt better having a man. And . . . I used to work in probation and it was literally no men</w:t>
      </w:r>
      <w:r w:rsidR="00E257BB" w:rsidRPr="00301C85">
        <w:rPr>
          <w:rFonts w:asciiTheme="majorHAnsi" w:hAnsiTheme="majorHAnsi" w:cstheme="minorHAnsi"/>
          <w:i/>
        </w:rPr>
        <w:t>.</w:t>
      </w:r>
    </w:p>
    <w:p w14:paraId="046A4A77" w14:textId="77777777" w:rsidR="006C15DA" w:rsidRPr="00301C85" w:rsidRDefault="006C15DA" w:rsidP="006C15DA">
      <w:pPr>
        <w:pStyle w:val="Normal1"/>
        <w:spacing w:line="360" w:lineRule="auto"/>
        <w:ind w:left="720"/>
        <w:contextualSpacing/>
        <w:rPr>
          <w:rFonts w:asciiTheme="majorHAnsi" w:hAnsiTheme="majorHAnsi" w:cstheme="minorHAnsi"/>
          <w:i/>
        </w:rPr>
      </w:pPr>
    </w:p>
    <w:p w14:paraId="7CB757D2" w14:textId="653843E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 xml:space="preserve">We’re in an important male role as a male professional, and you hear </w:t>
      </w:r>
      <w:proofErr w:type="gramStart"/>
      <w:r w:rsidRPr="00EE05AA">
        <w:rPr>
          <w:rFonts w:asciiTheme="majorHAnsi" w:hAnsiTheme="majorHAnsi" w:cstheme="minorHAnsi"/>
          <w:i/>
        </w:rPr>
        <w:t>this loads</w:t>
      </w:r>
      <w:proofErr w:type="gramEnd"/>
      <w:r w:rsidRPr="00EE05AA">
        <w:rPr>
          <w:rFonts w:asciiTheme="majorHAnsi" w:hAnsiTheme="majorHAnsi" w:cstheme="minorHAnsi"/>
          <w:i/>
        </w:rPr>
        <w:t>, don’t you, like on referral forms, they want a male worker, they want a male worker. And this family that I was talking about earlier, they had about six sessions with their female social worker to talk about the type of male worker that they would like because it was so important to them</w:t>
      </w:r>
      <w:r w:rsidR="00E257BB">
        <w:rPr>
          <w:rFonts w:asciiTheme="majorHAnsi" w:hAnsiTheme="majorHAnsi" w:cstheme="minorHAnsi"/>
          <w:i/>
        </w:rPr>
        <w:t>.</w:t>
      </w:r>
    </w:p>
    <w:p w14:paraId="20B11405" w14:textId="77777777" w:rsidR="006C15DA" w:rsidRPr="00EE05AA" w:rsidRDefault="006C15DA" w:rsidP="006C15DA">
      <w:pPr>
        <w:spacing w:line="360" w:lineRule="auto"/>
        <w:contextualSpacing/>
        <w:rPr>
          <w:rFonts w:asciiTheme="majorHAnsi" w:hAnsiTheme="majorHAnsi" w:cstheme="minorHAnsi"/>
          <w:i/>
        </w:rPr>
      </w:pPr>
    </w:p>
    <w:p w14:paraId="4459B9B1"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Male role models may provide young men with visible and successful alternatives to the destructive masculinities they have been exposed to previously, and to unattainable masculinities they see via the media:</w:t>
      </w:r>
    </w:p>
    <w:p w14:paraId="413585C8" w14:textId="77777777" w:rsidR="006C15DA" w:rsidRPr="00EE05AA" w:rsidRDefault="006C15DA" w:rsidP="006C15DA">
      <w:pPr>
        <w:spacing w:line="360" w:lineRule="auto"/>
        <w:ind w:firstLine="720"/>
        <w:contextualSpacing/>
        <w:rPr>
          <w:rFonts w:asciiTheme="majorHAnsi" w:hAnsiTheme="majorHAnsi" w:cstheme="minorHAnsi"/>
        </w:rPr>
      </w:pPr>
    </w:p>
    <w:p w14:paraId="3D5A1243"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lastRenderedPageBreak/>
        <w:t>There’s a lot of like competition, I guess, in your mind, and you aspire to be something that you can’t be. And then, I don’t know, and then that kind of fucks up your head a bit and it makes you insecure . . . But, yeah, it’s, yeah, there’s a lot of stress and anger around it, like wanting to be better, bigger, that sort of thing</w:t>
      </w:r>
    </w:p>
    <w:p w14:paraId="437B6E8E" w14:textId="77777777" w:rsidR="006C15DA" w:rsidRPr="00EE05AA" w:rsidRDefault="006C15DA" w:rsidP="006C15DA">
      <w:pPr>
        <w:spacing w:line="360" w:lineRule="auto"/>
        <w:contextualSpacing/>
        <w:rPr>
          <w:rFonts w:asciiTheme="majorHAnsi" w:hAnsiTheme="majorHAnsi" w:cstheme="minorHAnsi"/>
          <w:i/>
          <w:iCs/>
          <w:color w:val="000000" w:themeColor="text1"/>
        </w:rPr>
      </w:pPr>
    </w:p>
    <w:p w14:paraId="714D0BBC" w14:textId="77777777" w:rsidR="006C15DA" w:rsidRPr="00EE05AA" w:rsidRDefault="006C15DA" w:rsidP="088F2921">
      <w:pPr>
        <w:spacing w:line="360" w:lineRule="auto"/>
        <w:contextualSpacing/>
        <w:rPr>
          <w:rFonts w:asciiTheme="majorHAnsi" w:hAnsiTheme="majorHAnsi" w:cstheme="minorBidi"/>
        </w:rPr>
      </w:pPr>
      <w:r w:rsidRPr="088F2921">
        <w:rPr>
          <w:rFonts w:asciiTheme="majorHAnsi" w:hAnsiTheme="majorHAnsi" w:cstheme="minorBidi"/>
        </w:rPr>
        <w:t xml:space="preserve">At least one male practitioner interviewed saw positive and realistic role modelling as part of their responsibilities in working with young men: </w:t>
      </w:r>
    </w:p>
    <w:p w14:paraId="33C81672" w14:textId="77777777" w:rsidR="006C15DA" w:rsidRPr="00EE05AA" w:rsidRDefault="006C15DA" w:rsidP="006C15DA">
      <w:pPr>
        <w:spacing w:line="360" w:lineRule="auto"/>
        <w:ind w:firstLine="720"/>
        <w:contextualSpacing/>
        <w:rPr>
          <w:rFonts w:asciiTheme="majorHAnsi" w:hAnsiTheme="majorHAnsi" w:cstheme="minorHAnsi"/>
          <w:iCs/>
        </w:rPr>
      </w:pPr>
    </w:p>
    <w:p w14:paraId="1E11E3AA" w14:textId="3BE8E1D3"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My focus is more on improving that young person’s attitude and their career aspirations and what they want to achieve and just trying to be a positive role model</w:t>
      </w:r>
      <w:r w:rsidR="00E257BB">
        <w:rPr>
          <w:rFonts w:asciiTheme="majorHAnsi" w:hAnsiTheme="majorHAnsi" w:cstheme="minorHAnsi"/>
          <w:i/>
        </w:rPr>
        <w:t>.</w:t>
      </w:r>
    </w:p>
    <w:p w14:paraId="2F57B8D7" w14:textId="77777777" w:rsidR="006C15DA" w:rsidRPr="00EE05AA" w:rsidRDefault="006C15DA" w:rsidP="006C15DA">
      <w:pPr>
        <w:spacing w:line="360" w:lineRule="auto"/>
        <w:contextualSpacing/>
        <w:rPr>
          <w:rFonts w:asciiTheme="majorHAnsi" w:hAnsiTheme="majorHAnsi" w:cstheme="minorHAnsi"/>
        </w:rPr>
      </w:pPr>
    </w:p>
    <w:p w14:paraId="535ADFE7"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Another practitioner believed that understanding masculine identities was key to working with young men, and that accounting for masculinity should be at the heart of interventions:</w:t>
      </w:r>
    </w:p>
    <w:p w14:paraId="604C8BEA" w14:textId="77777777" w:rsidR="006C15DA" w:rsidRPr="00EE05AA" w:rsidRDefault="006C15DA" w:rsidP="006C15DA">
      <w:pPr>
        <w:spacing w:line="360" w:lineRule="auto"/>
        <w:ind w:firstLine="720"/>
        <w:contextualSpacing/>
        <w:rPr>
          <w:rFonts w:asciiTheme="majorHAnsi" w:hAnsiTheme="majorHAnsi" w:cstheme="minorHAnsi"/>
        </w:rPr>
      </w:pPr>
    </w:p>
    <w:p w14:paraId="73A07888" w14:textId="5CF7F3AA"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We’re all interested in the concept of men’s work, and men supporting men, and creating single gender safe spaces for men to do exploration of themselves, their relationship to their masculinity, what they were aspiring to, what kind of unhelpful things they might be carrying about what it was to be a man . . . If we believe that masculinity is in crisis, which we do believe, where it’s perhaps most in crisis is amongst this group of young men 18 to 25</w:t>
      </w:r>
      <w:r w:rsidR="00E257BB">
        <w:rPr>
          <w:rFonts w:asciiTheme="majorHAnsi" w:hAnsiTheme="majorHAnsi" w:cstheme="minorHAnsi"/>
          <w:i/>
        </w:rPr>
        <w:t>.</w:t>
      </w:r>
    </w:p>
    <w:p w14:paraId="6E3CE227" w14:textId="77777777" w:rsidR="006C15DA" w:rsidRPr="00EE05AA" w:rsidRDefault="006C15DA" w:rsidP="006C15DA">
      <w:pPr>
        <w:spacing w:line="360" w:lineRule="auto"/>
        <w:contextualSpacing/>
        <w:rPr>
          <w:rFonts w:asciiTheme="majorHAnsi" w:hAnsiTheme="majorHAnsi" w:cstheme="minorHAnsi"/>
        </w:rPr>
      </w:pPr>
    </w:p>
    <w:p w14:paraId="30BCEFF9" w14:textId="3766FF5C" w:rsidR="006C15DA" w:rsidRPr="00EE05AA" w:rsidRDefault="006C15DA" w:rsidP="088F2921">
      <w:pPr>
        <w:spacing w:line="360" w:lineRule="auto"/>
        <w:contextualSpacing/>
        <w:rPr>
          <w:rFonts w:asciiTheme="majorHAnsi" w:hAnsiTheme="majorHAnsi" w:cstheme="minorBidi"/>
        </w:rPr>
      </w:pPr>
      <w:r w:rsidRPr="088F2921">
        <w:rPr>
          <w:rFonts w:asciiTheme="majorHAnsi" w:hAnsiTheme="majorHAnsi" w:cstheme="minorBidi"/>
        </w:rPr>
        <w:t xml:space="preserve">And </w:t>
      </w:r>
      <w:r w:rsidR="0DC63E3E" w:rsidRPr="088F2921">
        <w:rPr>
          <w:rFonts w:asciiTheme="majorHAnsi" w:hAnsiTheme="majorHAnsi" w:cstheme="minorBidi"/>
        </w:rPr>
        <w:t>a further</w:t>
      </w:r>
      <w:r w:rsidRPr="088F2921">
        <w:rPr>
          <w:rFonts w:asciiTheme="majorHAnsi" w:hAnsiTheme="majorHAnsi" w:cstheme="minorBidi"/>
        </w:rPr>
        <w:t xml:space="preserve"> practitioner believed that providing young men with alternative sources of masculinity – i.e., masculinity acquired via sport, rather than via violence and criminality – and creating masculinised environments for young men to explore their identities, were effective interventions:</w:t>
      </w:r>
    </w:p>
    <w:p w14:paraId="3D6D5778" w14:textId="458A6EE6" w:rsidR="088F2921" w:rsidRDefault="088F2921" w:rsidP="088F2921">
      <w:pPr>
        <w:spacing w:line="360" w:lineRule="auto"/>
        <w:rPr>
          <w:rFonts w:asciiTheme="majorHAnsi" w:hAnsiTheme="majorHAnsi" w:cstheme="minorBidi"/>
        </w:rPr>
      </w:pPr>
    </w:p>
    <w:p w14:paraId="5B4EFC65"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lastRenderedPageBreak/>
        <w:t>We effectively are using the local gym space which is, can be perceived as quite a masculine thing to be doing, it then creates an environment where actually ego isn’t necessarily well placed in young men, because they’re in an environment where people are bigger and they’re working hard, they’re doing better, and so actually it becomes a more level playing field, and through that you are able to have really transparent conversations, but you’re also able to work on personal gains in terms of physical and mental aspirations also.</w:t>
      </w:r>
    </w:p>
    <w:p w14:paraId="00359FD6" w14:textId="77777777" w:rsidR="006C15DA" w:rsidRPr="00EE05AA" w:rsidRDefault="006C15DA" w:rsidP="006C15DA">
      <w:pPr>
        <w:spacing w:line="360" w:lineRule="auto"/>
        <w:ind w:firstLine="720"/>
        <w:contextualSpacing/>
        <w:rPr>
          <w:rFonts w:asciiTheme="majorHAnsi" w:hAnsiTheme="majorHAnsi" w:cstheme="minorHAnsi"/>
        </w:rPr>
      </w:pPr>
      <w:r w:rsidRPr="00EE05AA">
        <w:rPr>
          <w:rFonts w:asciiTheme="majorHAnsi" w:hAnsiTheme="majorHAnsi" w:cstheme="minorHAnsi"/>
        </w:rPr>
        <w:t xml:space="preserve"> </w:t>
      </w:r>
    </w:p>
    <w:p w14:paraId="244192D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It has been theorised previously that providing young men with alternative sources of ‘masculine capital’ – the social power afforded by the display of traditionally masculine traits such as power and violence – may reduce their engagement in criminality, and this might be particularly effective for economically-deprived young men, whose access to other sources of masculinity (e.g., financial status) is restricted (Messerschmidt, 2014; Sampson and Laub, 2005). </w:t>
      </w:r>
    </w:p>
    <w:p w14:paraId="02ABCBA8" w14:textId="77777777" w:rsidR="006C15DA" w:rsidRPr="00EE05AA" w:rsidRDefault="006C15DA" w:rsidP="006C15DA">
      <w:pPr>
        <w:spacing w:line="360" w:lineRule="auto"/>
        <w:ind w:firstLine="720"/>
        <w:contextualSpacing/>
        <w:rPr>
          <w:rFonts w:asciiTheme="majorHAnsi" w:hAnsiTheme="majorHAnsi" w:cstheme="minorHAnsi"/>
        </w:rPr>
      </w:pPr>
    </w:p>
    <w:p w14:paraId="13B0A3B5" w14:textId="0544EDAC" w:rsidR="006C15DA" w:rsidRPr="00301C85" w:rsidRDefault="00301C85" w:rsidP="006C15DA">
      <w:pPr>
        <w:spacing w:line="360" w:lineRule="auto"/>
        <w:contextualSpacing/>
        <w:rPr>
          <w:rFonts w:asciiTheme="majorHAnsi" w:hAnsiTheme="majorHAnsi" w:cstheme="minorHAnsi"/>
          <w:i/>
          <w:iCs/>
        </w:rPr>
      </w:pPr>
      <w:r w:rsidRPr="00301C85">
        <w:rPr>
          <w:rFonts w:asciiTheme="majorHAnsi" w:hAnsiTheme="majorHAnsi" w:cstheme="minorHAnsi"/>
          <w:i/>
          <w:iCs/>
        </w:rPr>
        <w:t xml:space="preserve">5.2.4 </w:t>
      </w:r>
      <w:r w:rsidR="006C15DA" w:rsidRPr="00301C85">
        <w:rPr>
          <w:rFonts w:asciiTheme="majorHAnsi" w:hAnsiTheme="majorHAnsi" w:cstheme="minorHAnsi"/>
          <w:i/>
          <w:iCs/>
        </w:rPr>
        <w:t>Inequalities</w:t>
      </w:r>
    </w:p>
    <w:p w14:paraId="7A8508A8"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Many participants reported that beliefs about gender held by people working with young men perpetuated inequalities between women and men, in terms of their understanding of and responsiveness to men’s needs. This was often in relation to the gendered conceptualisation of men as perpetrators, rather than victims, of coercion and violence. One young man explained that this conceptualisation meant that possibilities of male victimhood were overlooked by practitioners, and that men were less likely to disclose the violence they experienced:</w:t>
      </w:r>
    </w:p>
    <w:p w14:paraId="5CAA04D3" w14:textId="77777777" w:rsidR="006C15DA" w:rsidRPr="00EE05AA" w:rsidRDefault="006C15DA" w:rsidP="006C15DA">
      <w:pPr>
        <w:spacing w:line="360" w:lineRule="auto"/>
        <w:contextualSpacing/>
        <w:rPr>
          <w:rFonts w:asciiTheme="majorHAnsi" w:hAnsiTheme="majorHAnsi" w:cstheme="minorHAnsi"/>
        </w:rPr>
      </w:pPr>
    </w:p>
    <w:p w14:paraId="0187ECCC" w14:textId="37728756"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it’s more like they’re not listening to something that they don’t know what could have happened, they’re listening to something that they know what’s, they know the gist of what’s roughly happened if it’s a woman. But with a man it’s like…  because the male violence, most of the men don’t even say about it until they’re much older or even, if not ever</w:t>
      </w:r>
      <w:r w:rsidR="00E257BB">
        <w:rPr>
          <w:rFonts w:asciiTheme="majorHAnsi" w:hAnsiTheme="majorHAnsi" w:cstheme="minorHAnsi"/>
          <w:i/>
        </w:rPr>
        <w:t>.</w:t>
      </w:r>
    </w:p>
    <w:p w14:paraId="0441E95F" w14:textId="6CF6175F" w:rsidR="006C15DA" w:rsidRDefault="006C15DA" w:rsidP="006C15DA">
      <w:pPr>
        <w:pStyle w:val="Normal1"/>
        <w:spacing w:line="360" w:lineRule="auto"/>
        <w:contextualSpacing/>
        <w:rPr>
          <w:rFonts w:asciiTheme="majorHAnsi" w:hAnsiTheme="majorHAnsi" w:cstheme="minorHAnsi"/>
        </w:rPr>
      </w:pPr>
      <w:r w:rsidRPr="00301C85">
        <w:rPr>
          <w:rFonts w:asciiTheme="majorHAnsi" w:hAnsiTheme="majorHAnsi" w:cstheme="minorHAnsi"/>
        </w:rPr>
        <w:lastRenderedPageBreak/>
        <w:t xml:space="preserve">Practitioners were also concerned that men were disadvantaged by the gender stereotypes surrounding victimhood: </w:t>
      </w:r>
    </w:p>
    <w:p w14:paraId="37EB9B9C" w14:textId="77777777" w:rsidR="00301C85" w:rsidRPr="00301C85" w:rsidRDefault="00301C85" w:rsidP="006C15DA">
      <w:pPr>
        <w:pStyle w:val="Normal1"/>
        <w:spacing w:line="360" w:lineRule="auto"/>
        <w:contextualSpacing/>
        <w:rPr>
          <w:rFonts w:asciiTheme="majorHAnsi" w:hAnsiTheme="majorHAnsi" w:cstheme="minorHAnsi"/>
        </w:rPr>
      </w:pPr>
    </w:p>
    <w:p w14:paraId="6FA29655"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Domestic violence I suppose has become slightly more apparent in recent times but I think there is kind of like a general service ignorance to DV, not just within this service, I just mean all services, men are kind of ignored in some ways on that scope.</w:t>
      </w:r>
    </w:p>
    <w:p w14:paraId="4B6E3D41" w14:textId="77777777" w:rsidR="006C15DA" w:rsidRPr="00EE05AA" w:rsidRDefault="006C15DA" w:rsidP="006C15DA">
      <w:pPr>
        <w:spacing w:line="360" w:lineRule="auto"/>
        <w:ind w:left="720"/>
        <w:contextualSpacing/>
        <w:rPr>
          <w:rFonts w:asciiTheme="majorHAnsi" w:hAnsiTheme="majorHAnsi" w:cstheme="minorHAnsi"/>
          <w:i/>
        </w:rPr>
      </w:pPr>
    </w:p>
    <w:p w14:paraId="5F30C28C" w14:textId="5BAD0FD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think men are less likely to come forth about specific issues and less likely to self-identify as being victims of domestic violence</w:t>
      </w:r>
      <w:r w:rsidR="00E257BB">
        <w:rPr>
          <w:rFonts w:asciiTheme="majorHAnsi" w:hAnsiTheme="majorHAnsi" w:cstheme="minorHAnsi"/>
          <w:i/>
        </w:rPr>
        <w:t>.</w:t>
      </w:r>
    </w:p>
    <w:p w14:paraId="6CA47030" w14:textId="77777777" w:rsidR="006C15DA" w:rsidRPr="00EE05AA" w:rsidRDefault="006C15DA" w:rsidP="006C15DA">
      <w:pPr>
        <w:spacing w:line="360" w:lineRule="auto"/>
        <w:ind w:left="720"/>
        <w:contextualSpacing/>
        <w:rPr>
          <w:rFonts w:asciiTheme="majorHAnsi" w:hAnsiTheme="majorHAnsi" w:cstheme="minorHAnsi"/>
          <w:i/>
        </w:rPr>
      </w:pPr>
    </w:p>
    <w:p w14:paraId="7B70E0E3"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Women in the UK are more likely to be victims of domestic violence than men, and men are more likely than women to be perpetrators (Office for National Statistics, 2019). Feminist scholarship, including the study of masculinities, has highlighted the physical, sexual and psychological subjugation of women by men. A number of practitioners indicated that this had influenced the evolution of services oriented to helping women, at the cost of those geared to supporting young men. One practitioner interviewed believed that it was owing to men’s privileged position in society that youth work with young men was comparatively undervalued: </w:t>
      </w:r>
    </w:p>
    <w:p w14:paraId="3470639F" w14:textId="77777777" w:rsidR="006C15DA" w:rsidRPr="00EE05AA" w:rsidRDefault="006C15DA" w:rsidP="006C15DA">
      <w:pPr>
        <w:spacing w:line="360" w:lineRule="auto"/>
        <w:ind w:firstLine="720"/>
        <w:contextualSpacing/>
        <w:rPr>
          <w:rFonts w:asciiTheme="majorHAnsi" w:hAnsiTheme="majorHAnsi" w:cstheme="minorHAnsi"/>
        </w:rPr>
      </w:pPr>
    </w:p>
    <w:p w14:paraId="56AA87AD" w14:textId="632640C0" w:rsidR="006C15DA" w:rsidRPr="00EE05AA" w:rsidRDefault="006C15DA" w:rsidP="006C15DA">
      <w:pPr>
        <w:spacing w:line="360" w:lineRule="auto"/>
        <w:ind w:left="720" w:firstLine="60"/>
        <w:contextualSpacing/>
        <w:rPr>
          <w:rFonts w:asciiTheme="majorHAnsi" w:hAnsiTheme="majorHAnsi" w:cstheme="minorHAnsi"/>
          <w:i/>
        </w:rPr>
      </w:pPr>
      <w:r w:rsidRPr="00EE05AA">
        <w:rPr>
          <w:rFonts w:asciiTheme="majorHAnsi" w:hAnsiTheme="majorHAnsi" w:cstheme="minorHAnsi"/>
          <w:i/>
        </w:rPr>
        <w:t>I don’t know if there’s enough value around young men’s work. Rightly so there is lots of work for young women, and I think that is right, but I think there might be an undercurrent of, but men are the kind of dominant species in society, or however they want to frame it, therefore that work doesn’t need to be put in</w:t>
      </w:r>
      <w:r w:rsidR="00E257BB">
        <w:rPr>
          <w:rFonts w:asciiTheme="majorHAnsi" w:hAnsiTheme="majorHAnsi" w:cstheme="minorHAnsi"/>
          <w:i/>
        </w:rPr>
        <w:t>.</w:t>
      </w:r>
      <w:r w:rsidRPr="00EE05AA">
        <w:rPr>
          <w:rFonts w:asciiTheme="majorHAnsi" w:hAnsiTheme="majorHAnsi" w:cstheme="minorHAnsi"/>
          <w:i/>
        </w:rPr>
        <w:t> </w:t>
      </w:r>
    </w:p>
    <w:p w14:paraId="6723EB89" w14:textId="77777777" w:rsidR="006C15DA" w:rsidRPr="00EE05AA" w:rsidRDefault="006C15DA" w:rsidP="006C15DA">
      <w:pPr>
        <w:spacing w:line="360" w:lineRule="auto"/>
        <w:ind w:left="720" w:firstLine="60"/>
        <w:contextualSpacing/>
        <w:rPr>
          <w:rFonts w:asciiTheme="majorHAnsi" w:hAnsiTheme="majorHAnsi" w:cstheme="minorHAnsi"/>
          <w:i/>
        </w:rPr>
      </w:pPr>
    </w:p>
    <w:p w14:paraId="680FD1FD" w14:textId="055F2C1D" w:rsidR="006C15DA" w:rsidRPr="00EE05AA" w:rsidRDefault="006C15DA" w:rsidP="088F2921">
      <w:pPr>
        <w:spacing w:line="360" w:lineRule="auto"/>
        <w:contextualSpacing/>
        <w:rPr>
          <w:rFonts w:asciiTheme="majorHAnsi" w:hAnsiTheme="majorHAnsi" w:cstheme="minorBidi"/>
        </w:rPr>
      </w:pPr>
      <w:r w:rsidRPr="088F2921">
        <w:rPr>
          <w:rFonts w:asciiTheme="majorHAnsi" w:hAnsiTheme="majorHAnsi" w:cstheme="minorBidi"/>
        </w:rPr>
        <w:t>Other practitioner</w:t>
      </w:r>
      <w:r w:rsidR="008A05CC">
        <w:rPr>
          <w:rFonts w:asciiTheme="majorHAnsi" w:hAnsiTheme="majorHAnsi" w:cstheme="minorBidi"/>
        </w:rPr>
        <w:t xml:space="preserve">s </w:t>
      </w:r>
      <w:r w:rsidRPr="088F2921">
        <w:rPr>
          <w:rFonts w:asciiTheme="majorHAnsi" w:hAnsiTheme="majorHAnsi" w:cstheme="minorBidi"/>
        </w:rPr>
        <w:t xml:space="preserve">explained how young men’s needs were not being addressed appropriately by services and organisations, owing to gender stereotypes that pervaded institutions like the criminal justice system, education and healthcare: </w:t>
      </w:r>
    </w:p>
    <w:p w14:paraId="41F7D457" w14:textId="77777777" w:rsidR="006C15DA" w:rsidRPr="00EE05AA" w:rsidRDefault="006C15DA" w:rsidP="006C15DA">
      <w:pPr>
        <w:spacing w:line="360" w:lineRule="auto"/>
        <w:ind w:firstLine="720"/>
        <w:contextualSpacing/>
        <w:rPr>
          <w:rFonts w:asciiTheme="majorHAnsi" w:hAnsiTheme="majorHAnsi" w:cstheme="minorHAnsi"/>
        </w:rPr>
      </w:pPr>
    </w:p>
    <w:p w14:paraId="5B99E9FE"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lastRenderedPageBreak/>
        <w:t xml:space="preserve">I think it’s only just becoming acknowledged that actually men and boys can have the same or similar issues [as women] and actually would value the same support that has been put in place in that respect. </w:t>
      </w:r>
    </w:p>
    <w:p w14:paraId="3AB28DB1" w14:textId="77777777" w:rsidR="006C15DA" w:rsidRPr="00EE05AA" w:rsidRDefault="006C15DA" w:rsidP="006C15DA">
      <w:pPr>
        <w:spacing w:line="360" w:lineRule="auto"/>
        <w:ind w:left="720"/>
        <w:contextualSpacing/>
        <w:rPr>
          <w:rFonts w:asciiTheme="majorHAnsi" w:hAnsiTheme="majorHAnsi" w:cstheme="minorHAnsi"/>
          <w:i/>
        </w:rPr>
      </w:pPr>
    </w:p>
    <w:p w14:paraId="6EF27FA9"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How are we seeing these young men as opposed to how are we seeing a young woman in the same situation? Is it the same, is it different? Are we missing a trick in terms of some of the compassion that we could show around these young men?</w:t>
      </w:r>
    </w:p>
    <w:p w14:paraId="681877B8" w14:textId="77777777" w:rsidR="006C15DA" w:rsidRPr="00EE05AA" w:rsidRDefault="006C15DA" w:rsidP="006C15DA">
      <w:pPr>
        <w:spacing w:line="360" w:lineRule="auto"/>
        <w:ind w:left="720"/>
        <w:contextualSpacing/>
        <w:rPr>
          <w:rFonts w:asciiTheme="majorHAnsi" w:hAnsiTheme="majorHAnsi" w:cstheme="minorHAnsi"/>
          <w:i/>
        </w:rPr>
      </w:pPr>
    </w:p>
    <w:p w14:paraId="0DB5BB78"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 xml:space="preserve">Professionals and parents [don’t] really see boys as being potential victims [of childhood sexual abuse], which obviously impacts on young people’s ability to identify it themselves and obviously, you know, impacts on professionals and parent and carers’ ability to kind of recognise warning signs, because it’s kind of viewed as this female problem. </w:t>
      </w:r>
    </w:p>
    <w:p w14:paraId="0FE5941B" w14:textId="77777777" w:rsidR="006C15DA" w:rsidRPr="00EE05AA" w:rsidRDefault="006C15DA" w:rsidP="006C15DA">
      <w:pPr>
        <w:spacing w:line="360" w:lineRule="auto"/>
        <w:ind w:left="720"/>
        <w:contextualSpacing/>
        <w:rPr>
          <w:rFonts w:asciiTheme="majorHAnsi" w:hAnsiTheme="majorHAnsi" w:cstheme="minorHAnsi"/>
          <w:i/>
        </w:rPr>
      </w:pPr>
    </w:p>
    <w:p w14:paraId="756F9B69" w14:textId="1311F144"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don’t know if there’s enough value around young men’s work. Rightly so there is lots of work for young women, and I think that is right, but I think there might be an undercurrent of, ‘but men are the kind of dominant species in society’, or however they want to frame it, therefore that work doesn’t need to be put in</w:t>
      </w:r>
      <w:r w:rsidR="00E257BB">
        <w:rPr>
          <w:rFonts w:asciiTheme="majorHAnsi" w:hAnsiTheme="majorHAnsi" w:cstheme="minorHAnsi"/>
          <w:i/>
        </w:rPr>
        <w:t>.</w:t>
      </w:r>
    </w:p>
    <w:p w14:paraId="55A9EF8C" w14:textId="4B574946" w:rsidR="006C15DA" w:rsidRDefault="006C15DA" w:rsidP="006C15DA">
      <w:pPr>
        <w:spacing w:line="360" w:lineRule="auto"/>
        <w:contextualSpacing/>
        <w:rPr>
          <w:rFonts w:asciiTheme="majorHAnsi" w:hAnsiTheme="majorHAnsi" w:cstheme="minorHAnsi"/>
          <w:b/>
        </w:rPr>
      </w:pPr>
    </w:p>
    <w:p w14:paraId="6EA2EF86" w14:textId="77777777" w:rsidR="00E86D41" w:rsidRPr="00EE05AA" w:rsidRDefault="00E86D41" w:rsidP="006C15DA">
      <w:pPr>
        <w:spacing w:line="360" w:lineRule="auto"/>
        <w:contextualSpacing/>
        <w:rPr>
          <w:rFonts w:asciiTheme="majorHAnsi" w:hAnsiTheme="majorHAnsi" w:cstheme="minorHAnsi"/>
          <w:b/>
        </w:rPr>
      </w:pPr>
    </w:p>
    <w:p w14:paraId="7357B6FB" w14:textId="1DB70FDA" w:rsidR="006C15DA" w:rsidRPr="00D00DD0" w:rsidRDefault="00E86D41" w:rsidP="006C15DA">
      <w:pPr>
        <w:spacing w:line="360" w:lineRule="auto"/>
        <w:contextualSpacing/>
        <w:rPr>
          <w:rFonts w:asciiTheme="majorHAnsi" w:hAnsiTheme="majorHAnsi" w:cstheme="minorHAnsi"/>
          <w:i/>
          <w:iCs/>
        </w:rPr>
      </w:pPr>
      <w:r w:rsidRPr="00D00DD0">
        <w:rPr>
          <w:rFonts w:asciiTheme="majorHAnsi" w:hAnsiTheme="majorHAnsi" w:cstheme="minorHAnsi"/>
          <w:i/>
          <w:iCs/>
        </w:rPr>
        <w:t xml:space="preserve">5.2.5 </w:t>
      </w:r>
      <w:r w:rsidR="006C15DA" w:rsidRPr="00D00DD0">
        <w:rPr>
          <w:rFonts w:asciiTheme="majorHAnsi" w:hAnsiTheme="majorHAnsi" w:cstheme="minorHAnsi"/>
          <w:i/>
          <w:iCs/>
        </w:rPr>
        <w:t>Intersectionali</w:t>
      </w:r>
      <w:r w:rsidR="000E5711" w:rsidRPr="00D00DD0">
        <w:rPr>
          <w:rFonts w:asciiTheme="majorHAnsi" w:hAnsiTheme="majorHAnsi" w:cstheme="minorHAnsi"/>
          <w:i/>
          <w:iCs/>
        </w:rPr>
        <w:t>ties</w:t>
      </w:r>
    </w:p>
    <w:p w14:paraId="0713B55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Practitioner reported that challenges faced by young men related to their masculine identity were complicated by issues relating to intersecting identities, including ethnicity, race, class, gender, and sexuality. One of the main concerns was that services were not effectively oriented to supporting the needs of all young men owing to a lack of diversity among practitioners. For example, inequalities in service accessibility and quality were exacerbated when service users were trans-men, owing to a general lack of understanding of trans issues, and an absence of trans-identifying practitioners: </w:t>
      </w:r>
    </w:p>
    <w:p w14:paraId="4F460334" w14:textId="52ECDDC0" w:rsidR="006C15DA" w:rsidRPr="00EE05AA" w:rsidRDefault="006C15DA" w:rsidP="0080697E">
      <w:pPr>
        <w:spacing w:line="360" w:lineRule="auto"/>
        <w:ind w:left="720"/>
        <w:contextualSpacing/>
        <w:rPr>
          <w:rFonts w:asciiTheme="majorHAnsi" w:hAnsiTheme="majorHAnsi" w:cstheme="minorHAnsi"/>
          <w:i/>
        </w:rPr>
      </w:pPr>
      <w:r w:rsidRPr="00EE05AA">
        <w:rPr>
          <w:rFonts w:asciiTheme="majorHAnsi" w:hAnsiTheme="majorHAnsi" w:cstheme="minorHAnsi"/>
          <w:i/>
        </w:rPr>
        <w:lastRenderedPageBreak/>
        <w:t>Most people don’t know what to do with trans young people or non-binary or, you know, especially around changes of name</w:t>
      </w:r>
      <w:r w:rsidR="00E257BB">
        <w:rPr>
          <w:rFonts w:asciiTheme="majorHAnsi" w:hAnsiTheme="majorHAnsi" w:cstheme="minorHAnsi"/>
          <w:i/>
        </w:rPr>
        <w:t>.</w:t>
      </w:r>
    </w:p>
    <w:p w14:paraId="4BF5AFE4" w14:textId="77777777" w:rsidR="006C15DA" w:rsidRPr="00EE05AA" w:rsidRDefault="006C15DA" w:rsidP="006C15DA">
      <w:pPr>
        <w:spacing w:line="360" w:lineRule="auto"/>
        <w:ind w:left="720"/>
        <w:contextualSpacing/>
        <w:rPr>
          <w:rFonts w:asciiTheme="majorHAnsi" w:hAnsiTheme="majorHAnsi" w:cstheme="minorHAnsi"/>
          <w:i/>
        </w:rPr>
      </w:pPr>
    </w:p>
    <w:p w14:paraId="2B699B0A" w14:textId="14DE2E5D"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It’s uncomfortable sometimes going to a service because you’re going to be misunderstood, you’re going to be misgendered, mislabelled, you’re going to be, the perception of who you are and what you’re there for is different</w:t>
      </w:r>
      <w:r w:rsidR="00E257BB">
        <w:rPr>
          <w:rFonts w:asciiTheme="majorHAnsi" w:hAnsiTheme="majorHAnsi" w:cstheme="minorHAnsi"/>
          <w:i/>
        </w:rPr>
        <w:t>.</w:t>
      </w:r>
    </w:p>
    <w:p w14:paraId="0D6DA6FA" w14:textId="77777777" w:rsidR="006C15DA" w:rsidRPr="00EE05AA" w:rsidRDefault="006C15DA" w:rsidP="006C15DA">
      <w:pPr>
        <w:pStyle w:val="Normal1"/>
        <w:spacing w:line="360" w:lineRule="auto"/>
        <w:contextualSpacing/>
        <w:rPr>
          <w:rFonts w:asciiTheme="majorHAnsi" w:hAnsiTheme="majorHAnsi" w:cstheme="minorHAnsi"/>
          <w:sz w:val="22"/>
          <w:szCs w:val="22"/>
        </w:rPr>
      </w:pPr>
    </w:p>
    <w:p w14:paraId="42AB7E37" w14:textId="536BE9AE" w:rsidR="006C15DA" w:rsidRPr="00EE05AA" w:rsidRDefault="006C15DA" w:rsidP="006C15DA">
      <w:pPr>
        <w:pStyle w:val="Caption1"/>
        <w:spacing w:after="0" w:line="360" w:lineRule="auto"/>
        <w:ind w:left="720"/>
        <w:contextualSpacing/>
        <w:jc w:val="left"/>
        <w:rPr>
          <w:rFonts w:asciiTheme="majorHAnsi" w:hAnsiTheme="majorHAnsi" w:cstheme="minorHAnsi"/>
          <w:iCs/>
          <w:color w:val="000000" w:themeColor="text1"/>
          <w:sz w:val="22"/>
          <w:szCs w:val="22"/>
        </w:rPr>
      </w:pPr>
      <w:r w:rsidRPr="00EE05AA">
        <w:rPr>
          <w:rFonts w:asciiTheme="majorHAnsi" w:hAnsiTheme="majorHAnsi" w:cstheme="minorHAnsi"/>
          <w:iCs/>
          <w:color w:val="000000" w:themeColor="text1"/>
          <w:sz w:val="22"/>
          <w:szCs w:val="22"/>
        </w:rPr>
        <w:t>I lump in trans in with that and I feel a bit bad about that because I think LGBT, I think it’s all up together and it’s often very different. I would say for instance I feel that this project could do with its own trans worker because there’s such a high proportion of sexual exploitation for trans people</w:t>
      </w:r>
      <w:r w:rsidR="00E257BB">
        <w:rPr>
          <w:rFonts w:asciiTheme="majorHAnsi" w:hAnsiTheme="majorHAnsi" w:cstheme="minorHAnsi"/>
          <w:iCs/>
          <w:color w:val="000000" w:themeColor="text1"/>
          <w:sz w:val="22"/>
          <w:szCs w:val="22"/>
        </w:rPr>
        <w:t>.</w:t>
      </w:r>
    </w:p>
    <w:p w14:paraId="4815E310" w14:textId="77777777"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p>
    <w:p w14:paraId="0AB4C9E9" w14:textId="77777777" w:rsidR="006C15DA" w:rsidRPr="00301C85" w:rsidRDefault="006C15DA" w:rsidP="006C15DA">
      <w:pPr>
        <w:pStyle w:val="Normal1"/>
        <w:spacing w:line="360" w:lineRule="auto"/>
        <w:contextualSpacing/>
        <w:rPr>
          <w:rFonts w:asciiTheme="majorHAnsi" w:hAnsiTheme="majorHAnsi" w:cstheme="minorHAnsi"/>
        </w:rPr>
      </w:pPr>
      <w:r w:rsidRPr="00301C85">
        <w:rPr>
          <w:rFonts w:asciiTheme="majorHAnsi" w:hAnsiTheme="majorHAnsi" w:cstheme="minorHAnsi"/>
        </w:rPr>
        <w:t xml:space="preserve">Similarly, one practitioner explained how a lack of black or minority ethnic employees disadvantaged the young black men who attempted to access their service: </w:t>
      </w:r>
    </w:p>
    <w:p w14:paraId="54B2B51A" w14:textId="77777777" w:rsidR="006C15DA" w:rsidRPr="00EE05AA" w:rsidRDefault="006C15DA" w:rsidP="006C15DA">
      <w:pPr>
        <w:pStyle w:val="Normal1"/>
        <w:spacing w:line="360" w:lineRule="auto"/>
        <w:ind w:firstLine="720"/>
        <w:contextualSpacing/>
        <w:rPr>
          <w:rFonts w:asciiTheme="majorHAnsi" w:hAnsiTheme="majorHAnsi" w:cstheme="minorHAnsi"/>
          <w:sz w:val="22"/>
          <w:szCs w:val="22"/>
        </w:rPr>
      </w:pPr>
    </w:p>
    <w:p w14:paraId="66DA8EE5" w14:textId="145307F9"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You can enter that service as a black person but inherently that service is white. And there’s always going to be a disconnect between understanding backgrounds and perceptions and use of language and how that ostracises and discriminates against people without the majority of society being even aware of it</w:t>
      </w:r>
      <w:r w:rsidR="00E257BB">
        <w:rPr>
          <w:rFonts w:asciiTheme="majorHAnsi" w:hAnsiTheme="majorHAnsi" w:cstheme="minorHAnsi"/>
          <w:i/>
        </w:rPr>
        <w:t>.</w:t>
      </w:r>
    </w:p>
    <w:p w14:paraId="69A8C8F8" w14:textId="77777777" w:rsidR="006C15DA" w:rsidRPr="00EE05AA" w:rsidRDefault="006C15DA" w:rsidP="006C15DA">
      <w:pPr>
        <w:pStyle w:val="Caption1"/>
        <w:spacing w:after="0" w:line="360" w:lineRule="auto"/>
        <w:contextualSpacing/>
        <w:jc w:val="left"/>
        <w:rPr>
          <w:rFonts w:asciiTheme="majorHAnsi" w:hAnsiTheme="majorHAnsi" w:cstheme="minorHAnsi"/>
          <w:i w:val="0"/>
          <w:iCs/>
          <w:color w:val="000000" w:themeColor="text1"/>
          <w:sz w:val="22"/>
          <w:szCs w:val="22"/>
        </w:rPr>
      </w:pPr>
    </w:p>
    <w:p w14:paraId="0B32D3E0"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It was reported that economic and social inequalities posed particular challenges, and that organisations and services were not necessarily equipped to support more economically and culturally deprived young men: </w:t>
      </w:r>
    </w:p>
    <w:p w14:paraId="37F6DC91" w14:textId="77777777" w:rsidR="006C15DA" w:rsidRPr="00EE05AA" w:rsidRDefault="006C15DA" w:rsidP="006C15DA">
      <w:pPr>
        <w:spacing w:line="360" w:lineRule="auto"/>
        <w:ind w:firstLine="720"/>
        <w:contextualSpacing/>
        <w:rPr>
          <w:rFonts w:asciiTheme="majorHAnsi" w:hAnsiTheme="majorHAnsi" w:cstheme="minorHAnsi"/>
        </w:rPr>
      </w:pPr>
    </w:p>
    <w:p w14:paraId="14787641" w14:textId="69A6D882"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think there’s a real kind of divide in Brighton between haves and have nots and the have nots really don’t have much at all. Yeah. I’d say that’s probably the biggest single thing for men</w:t>
      </w:r>
      <w:r w:rsidR="00E257BB">
        <w:rPr>
          <w:rFonts w:asciiTheme="majorHAnsi" w:hAnsiTheme="majorHAnsi" w:cstheme="minorHAnsi"/>
          <w:i/>
        </w:rPr>
        <w:t>.</w:t>
      </w:r>
    </w:p>
    <w:p w14:paraId="6C5D4B57" w14:textId="77777777" w:rsidR="006C15DA" w:rsidRPr="00EE05AA" w:rsidRDefault="006C15DA" w:rsidP="006C15DA">
      <w:pPr>
        <w:spacing w:line="360" w:lineRule="auto"/>
        <w:ind w:firstLine="720"/>
        <w:contextualSpacing/>
        <w:rPr>
          <w:rFonts w:asciiTheme="majorHAnsi" w:hAnsiTheme="majorHAnsi" w:cstheme="minorHAnsi"/>
        </w:rPr>
      </w:pPr>
    </w:p>
    <w:p w14:paraId="52203D7E" w14:textId="2F53FB60" w:rsidR="006C15DA" w:rsidRPr="0080697E" w:rsidRDefault="006C15DA" w:rsidP="006C15DA">
      <w:pPr>
        <w:pStyle w:val="Normal1"/>
        <w:spacing w:line="360" w:lineRule="auto"/>
        <w:ind w:left="720"/>
        <w:contextualSpacing/>
        <w:rPr>
          <w:rFonts w:asciiTheme="majorHAnsi" w:hAnsiTheme="majorHAnsi" w:cstheme="minorHAnsi"/>
          <w:i/>
        </w:rPr>
      </w:pPr>
      <w:r w:rsidRPr="0080697E">
        <w:rPr>
          <w:rFonts w:asciiTheme="majorHAnsi" w:hAnsiTheme="majorHAnsi" w:cstheme="minorHAnsi"/>
          <w:i/>
        </w:rPr>
        <w:lastRenderedPageBreak/>
        <w:t>Sometimes what happens is the more eloquent, more educated young men are given, or have access to certain opportunities, so whether that’s sitting on the Youth Council, or volunteering with something, or, and those who aren’t in that category get missed, and then there aren’t the youth workers there to pick up those young men</w:t>
      </w:r>
      <w:r w:rsidR="00E257BB" w:rsidRPr="0080697E">
        <w:rPr>
          <w:rFonts w:asciiTheme="majorHAnsi" w:hAnsiTheme="majorHAnsi" w:cstheme="minorHAnsi"/>
          <w:i/>
        </w:rPr>
        <w:t>.</w:t>
      </w:r>
    </w:p>
    <w:p w14:paraId="39E3F266" w14:textId="77777777" w:rsidR="006C15DA" w:rsidRPr="0080697E" w:rsidRDefault="006C15DA" w:rsidP="006C15DA">
      <w:pPr>
        <w:spacing w:line="360" w:lineRule="auto"/>
        <w:ind w:left="720"/>
        <w:contextualSpacing/>
        <w:rPr>
          <w:rFonts w:asciiTheme="majorHAnsi" w:hAnsiTheme="majorHAnsi" w:cstheme="minorHAnsi"/>
          <w:i/>
        </w:rPr>
      </w:pPr>
    </w:p>
    <w:p w14:paraId="78D714E8" w14:textId="6339D26E"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When we take intersectionality into that as well it makes it even more complex because you come to housing advice, there’s not a single BME person that could be, that could see another BME person, that’s just, that’s not something, we’re all white middle class</w:t>
      </w:r>
      <w:r w:rsidR="00E257BB">
        <w:rPr>
          <w:rFonts w:asciiTheme="majorHAnsi" w:hAnsiTheme="majorHAnsi" w:cstheme="minorHAnsi"/>
          <w:i/>
        </w:rPr>
        <w:t>.</w:t>
      </w:r>
    </w:p>
    <w:p w14:paraId="6E4A1106" w14:textId="77777777" w:rsidR="006C15DA" w:rsidRPr="00EE05AA" w:rsidRDefault="006C15DA" w:rsidP="006C15DA">
      <w:pPr>
        <w:pStyle w:val="Normal1"/>
        <w:spacing w:line="360" w:lineRule="auto"/>
        <w:ind w:left="720"/>
        <w:contextualSpacing/>
        <w:rPr>
          <w:rFonts w:asciiTheme="majorHAnsi" w:hAnsiTheme="majorHAnsi" w:cstheme="minorHAnsi"/>
          <w:sz w:val="22"/>
          <w:szCs w:val="22"/>
        </w:rPr>
      </w:pPr>
    </w:p>
    <w:p w14:paraId="2A7C000D" w14:textId="77777777" w:rsidR="006C15DA" w:rsidRPr="00301C85" w:rsidRDefault="006C15DA" w:rsidP="006C15DA">
      <w:pPr>
        <w:pStyle w:val="Normal1"/>
        <w:spacing w:line="360" w:lineRule="auto"/>
        <w:contextualSpacing/>
        <w:rPr>
          <w:rFonts w:asciiTheme="majorHAnsi" w:hAnsiTheme="majorHAnsi" w:cstheme="minorHAnsi"/>
        </w:rPr>
      </w:pPr>
      <w:r w:rsidRPr="00301C85">
        <w:rPr>
          <w:rFonts w:asciiTheme="majorHAnsi" w:hAnsiTheme="majorHAnsi" w:cstheme="minorHAnsi"/>
        </w:rPr>
        <w:t xml:space="preserve">Beliefs about gender are shaped by cultural influences, and according to one practitioner, this meant that young men from cultures where gender is conceptualised in less egalitarian and progressive terms were at particular risk: </w:t>
      </w:r>
    </w:p>
    <w:p w14:paraId="721AC9B6" w14:textId="77777777" w:rsidR="006C15DA" w:rsidRPr="00EE05AA" w:rsidRDefault="006C15DA" w:rsidP="006C15DA">
      <w:pPr>
        <w:pStyle w:val="Normal1"/>
        <w:spacing w:line="360" w:lineRule="auto"/>
        <w:ind w:firstLine="720"/>
        <w:contextualSpacing/>
        <w:rPr>
          <w:rFonts w:asciiTheme="majorHAnsi" w:hAnsiTheme="majorHAnsi" w:cstheme="minorHAnsi"/>
          <w:sz w:val="22"/>
          <w:szCs w:val="22"/>
        </w:rPr>
      </w:pPr>
    </w:p>
    <w:p w14:paraId="08B946E7" w14:textId="21DA43C8" w:rsidR="006C15DA" w:rsidRPr="00301C85" w:rsidRDefault="006C15DA" w:rsidP="006C15DA">
      <w:pPr>
        <w:pStyle w:val="Normal1"/>
        <w:spacing w:line="360" w:lineRule="auto"/>
        <w:ind w:left="720"/>
        <w:contextualSpacing/>
        <w:rPr>
          <w:rFonts w:asciiTheme="majorHAnsi" w:hAnsiTheme="majorHAnsi" w:cstheme="minorHAnsi"/>
          <w:i/>
        </w:rPr>
      </w:pPr>
      <w:r w:rsidRPr="00301C85">
        <w:rPr>
          <w:rFonts w:asciiTheme="majorHAnsi" w:hAnsiTheme="majorHAnsi" w:cstheme="minorHAnsi"/>
          <w:i/>
        </w:rPr>
        <w:t xml:space="preserve">They’re coming from places like Iraq and Afghanistan where sex is often, you know, kind of not spoken about at all but also often deep rooted in a lot of shame and yeah, so I think, you know, I sometimes do wonder to myself if they were to be sexually [abused / exploited], you know, would they have the word, you know, be able to put that to words, would they have the language for it? . . . I think it’s often boys and young men can’t visualise </w:t>
      </w:r>
      <w:proofErr w:type="gramStart"/>
      <w:r w:rsidRPr="00301C85">
        <w:rPr>
          <w:rFonts w:asciiTheme="majorHAnsi" w:hAnsiTheme="majorHAnsi" w:cstheme="minorHAnsi"/>
          <w:i/>
        </w:rPr>
        <w:t>themselves,</w:t>
      </w:r>
      <w:proofErr w:type="gramEnd"/>
      <w:r w:rsidRPr="00301C85">
        <w:rPr>
          <w:rFonts w:asciiTheme="majorHAnsi" w:hAnsiTheme="majorHAnsi" w:cstheme="minorHAnsi"/>
          <w:i/>
        </w:rPr>
        <w:t xml:space="preserve"> you know, I think when there’s a narrative, I think girls growing up, “You are vulnerable to these bad things happening,” boys don’t have that . . . “It’s a female problem”</w:t>
      </w:r>
      <w:r w:rsidR="00E257BB" w:rsidRPr="00301C85">
        <w:rPr>
          <w:rFonts w:asciiTheme="majorHAnsi" w:hAnsiTheme="majorHAnsi" w:cstheme="minorHAnsi"/>
          <w:i/>
        </w:rPr>
        <w:t>.</w:t>
      </w:r>
    </w:p>
    <w:p w14:paraId="46E1C217" w14:textId="74AABB8C" w:rsidR="006C15DA" w:rsidRDefault="006C15DA" w:rsidP="006C15DA">
      <w:pPr>
        <w:spacing w:line="360" w:lineRule="auto"/>
        <w:ind w:left="720"/>
        <w:contextualSpacing/>
        <w:rPr>
          <w:rFonts w:asciiTheme="majorHAnsi" w:hAnsiTheme="majorHAnsi" w:cstheme="minorHAnsi"/>
        </w:rPr>
      </w:pPr>
    </w:p>
    <w:p w14:paraId="4EDA0753" w14:textId="77777777" w:rsidR="00301C85" w:rsidRDefault="00301C85" w:rsidP="00301C85">
      <w:pPr>
        <w:spacing w:line="360" w:lineRule="auto"/>
        <w:contextualSpacing/>
        <w:rPr>
          <w:rFonts w:asciiTheme="majorHAnsi" w:hAnsiTheme="majorHAnsi" w:cstheme="minorHAnsi"/>
        </w:rPr>
      </w:pPr>
    </w:p>
    <w:p w14:paraId="014359F4" w14:textId="6CC35E37" w:rsidR="007124DA" w:rsidRDefault="007124DA" w:rsidP="006C15DA">
      <w:pPr>
        <w:spacing w:line="360" w:lineRule="auto"/>
        <w:ind w:left="720"/>
        <w:contextualSpacing/>
        <w:rPr>
          <w:rFonts w:asciiTheme="majorHAnsi" w:hAnsiTheme="majorHAnsi" w:cstheme="minorHAnsi"/>
        </w:rPr>
      </w:pPr>
    </w:p>
    <w:p w14:paraId="1E025C9E" w14:textId="5CAD1AD9" w:rsidR="0080697E" w:rsidRDefault="0080697E" w:rsidP="006C15DA">
      <w:pPr>
        <w:spacing w:line="360" w:lineRule="auto"/>
        <w:ind w:left="720"/>
        <w:contextualSpacing/>
        <w:rPr>
          <w:rFonts w:asciiTheme="majorHAnsi" w:hAnsiTheme="majorHAnsi" w:cstheme="minorHAnsi"/>
        </w:rPr>
      </w:pPr>
    </w:p>
    <w:p w14:paraId="77EBE6D9" w14:textId="5F819F12" w:rsidR="0080697E" w:rsidRDefault="0080697E" w:rsidP="006C15DA">
      <w:pPr>
        <w:spacing w:line="360" w:lineRule="auto"/>
        <w:ind w:left="720"/>
        <w:contextualSpacing/>
        <w:rPr>
          <w:rFonts w:asciiTheme="majorHAnsi" w:hAnsiTheme="majorHAnsi" w:cstheme="minorHAnsi"/>
        </w:rPr>
      </w:pPr>
    </w:p>
    <w:p w14:paraId="0AC06303" w14:textId="77777777" w:rsidR="0080697E" w:rsidRPr="00EE05AA" w:rsidRDefault="0080697E" w:rsidP="006C15DA">
      <w:pPr>
        <w:spacing w:line="360" w:lineRule="auto"/>
        <w:ind w:left="720"/>
        <w:contextualSpacing/>
        <w:rPr>
          <w:rFonts w:asciiTheme="majorHAnsi" w:hAnsiTheme="majorHAnsi" w:cstheme="minorHAnsi"/>
        </w:rPr>
      </w:pPr>
    </w:p>
    <w:p w14:paraId="5DDFD2B5"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lastRenderedPageBreak/>
        <w:t>Implications for practice</w:t>
      </w:r>
    </w:p>
    <w:p w14:paraId="6EA3483C" w14:textId="77777777" w:rsidR="006C15DA" w:rsidRPr="00EE05AA" w:rsidRDefault="006C15DA" w:rsidP="0080697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 xml:space="preserve">Encouraging young men to interrogate their beliefs about “what men should be like”, and helping them develop alternative conceptualisations of masculinity, will remove some of the barriers to help-seeking  </w:t>
      </w:r>
    </w:p>
    <w:p w14:paraId="091727E0" w14:textId="77777777" w:rsidR="006C15DA" w:rsidRPr="00EE05AA" w:rsidRDefault="006C15DA" w:rsidP="0080697E">
      <w:pPr>
        <w:pStyle w:val="ListParagraph"/>
        <w:pBdr>
          <w:top w:val="single" w:sz="4" w:space="1" w:color="auto"/>
          <w:left w:val="single" w:sz="4" w:space="4" w:color="auto"/>
          <w:bottom w:val="single" w:sz="4" w:space="1" w:color="auto"/>
          <w:right w:val="single" w:sz="4" w:space="4" w:color="auto"/>
        </w:pBdr>
        <w:shd w:val="clear" w:color="auto" w:fill="D3FFD9"/>
        <w:spacing w:line="360" w:lineRule="auto"/>
        <w:ind w:left="0"/>
        <w:rPr>
          <w:rFonts w:asciiTheme="majorHAnsi" w:hAnsiTheme="majorHAnsi" w:cstheme="minorHAnsi"/>
        </w:rPr>
      </w:pPr>
    </w:p>
    <w:p w14:paraId="58617C70" w14:textId="77777777" w:rsidR="006C15DA" w:rsidRPr="00EE05AA" w:rsidRDefault="006C15DA" w:rsidP="0080697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Young men need “space” (physical locations and temporal opportunities) to explore their beliefs about masculinity, and consider how they might develop masculine identities that are not built on emotional resilience, aggression, and criminality</w:t>
      </w:r>
    </w:p>
    <w:p w14:paraId="2EEFBA24"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3DC4CEAB" w14:textId="77777777" w:rsidR="006C15DA" w:rsidRPr="00EE05AA" w:rsidRDefault="006C15DA" w:rsidP="0080697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 xml:space="preserve">The provision of activities of interest to young men by services and organisations may provide young men with sources of masculinity, and encourage positive role modelling of staff and other young men </w:t>
      </w:r>
    </w:p>
    <w:p w14:paraId="42395CEC"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p>
    <w:p w14:paraId="2DAEABAB" w14:textId="77777777" w:rsidR="006C15DA" w:rsidRPr="00EE05AA" w:rsidRDefault="006C15DA" w:rsidP="0080697E">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Services and organisations should work towards diversifying their workforce in order to better represent the young men they are oriented to supporting</w:t>
      </w:r>
    </w:p>
    <w:p w14:paraId="20FC821C" w14:textId="77777777" w:rsidR="006C15DA" w:rsidRPr="00EE05AA" w:rsidRDefault="006C15DA" w:rsidP="006C15DA">
      <w:pPr>
        <w:spacing w:line="360" w:lineRule="auto"/>
        <w:contextualSpacing/>
        <w:rPr>
          <w:rFonts w:asciiTheme="majorHAnsi" w:hAnsiTheme="majorHAnsi" w:cstheme="minorHAnsi"/>
        </w:rPr>
      </w:pPr>
    </w:p>
    <w:p w14:paraId="12182E7D" w14:textId="77777777" w:rsidR="006C15DA" w:rsidRPr="00EE05AA" w:rsidRDefault="006C15DA" w:rsidP="006C15DA">
      <w:pPr>
        <w:spacing w:after="160" w:line="259" w:lineRule="auto"/>
        <w:rPr>
          <w:rFonts w:asciiTheme="majorHAnsi" w:hAnsiTheme="majorHAnsi" w:cstheme="minorHAnsi"/>
          <w:b/>
          <w:bCs/>
        </w:rPr>
      </w:pPr>
      <w:r w:rsidRPr="00EE05AA">
        <w:rPr>
          <w:rFonts w:asciiTheme="majorHAnsi" w:hAnsiTheme="majorHAnsi" w:cstheme="minorHAnsi"/>
          <w:b/>
          <w:bCs/>
        </w:rPr>
        <w:br w:type="page"/>
      </w:r>
    </w:p>
    <w:p w14:paraId="44BC1B5F" w14:textId="5F370757" w:rsidR="006C15DA" w:rsidRDefault="00E86D41" w:rsidP="006C15DA">
      <w:pPr>
        <w:spacing w:line="360" w:lineRule="auto"/>
        <w:contextualSpacing/>
        <w:rPr>
          <w:rFonts w:asciiTheme="majorHAnsi" w:hAnsiTheme="majorHAnsi" w:cstheme="minorHAnsi"/>
          <w:b/>
          <w:bCs/>
        </w:rPr>
      </w:pPr>
      <w:r>
        <w:rPr>
          <w:rFonts w:asciiTheme="majorHAnsi" w:hAnsiTheme="majorHAnsi" w:cstheme="minorHAnsi"/>
          <w:b/>
          <w:bCs/>
        </w:rPr>
        <w:lastRenderedPageBreak/>
        <w:t>5</w:t>
      </w:r>
      <w:r w:rsidR="000414B2">
        <w:rPr>
          <w:rFonts w:asciiTheme="majorHAnsi" w:hAnsiTheme="majorHAnsi" w:cstheme="minorHAnsi"/>
          <w:b/>
          <w:bCs/>
        </w:rPr>
        <w:t xml:space="preserve">.3 </w:t>
      </w:r>
      <w:r w:rsidR="006C15DA" w:rsidRPr="00EE05AA">
        <w:rPr>
          <w:rFonts w:asciiTheme="majorHAnsi" w:hAnsiTheme="majorHAnsi" w:cstheme="minorHAnsi"/>
          <w:b/>
          <w:bCs/>
        </w:rPr>
        <w:t xml:space="preserve">Family, home, and care </w:t>
      </w:r>
    </w:p>
    <w:p w14:paraId="33C91A54" w14:textId="77777777" w:rsidR="007813F2" w:rsidRPr="00EE05AA" w:rsidRDefault="007813F2" w:rsidP="006C15DA">
      <w:pPr>
        <w:spacing w:line="360" w:lineRule="auto"/>
        <w:contextualSpacing/>
        <w:rPr>
          <w:rFonts w:asciiTheme="majorHAnsi" w:hAnsiTheme="majorHAnsi" w:cstheme="minorHAnsi"/>
          <w:b/>
          <w:bCs/>
        </w:rPr>
      </w:pPr>
    </w:p>
    <w:p w14:paraId="7F72DA8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Key Issues</w:t>
      </w:r>
    </w:p>
    <w:p w14:paraId="743791F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Home environments</w:t>
      </w:r>
    </w:p>
    <w:p w14:paraId="12E8826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The different home environments of young men can play a pivotal role in influencing their goals, aspirations and opportunities as well as their well-being on several measures. The home context, experiences and relationships need to be taken into consideration when planning interventions and services for young men, including issues such as poverty. </w:t>
      </w:r>
    </w:p>
    <w:p w14:paraId="7CE0A8F9"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51BF51B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Trauma</w:t>
      </w:r>
    </w:p>
    <w:p w14:paraId="33ADC93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A trauma-informed approach to practice is key to understanding the experiences and impact of these experiences during work with young men, including the impact of trauma upon likelihood of forming, and ability to form, healthy and safe working relationships which form a basis for future relationships.  </w:t>
      </w:r>
    </w:p>
    <w:p w14:paraId="2D0E367A"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154CAFD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Moving on</w:t>
      </w:r>
    </w:p>
    <w:p w14:paraId="3A0212C3"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Moving between children’s and adult’s services, leaving home and care are known and unsurprisingly key transitions. However, services that stop abruptly at key ages or fail to support during these stages, can negatively impact upon the potential of young men to make progress in work, education and family life. </w:t>
      </w:r>
    </w:p>
    <w:p w14:paraId="7C9685E6" w14:textId="77777777" w:rsidR="006C15DA" w:rsidRPr="00EE05AA" w:rsidRDefault="006C15DA" w:rsidP="006C15DA">
      <w:pPr>
        <w:spacing w:line="360" w:lineRule="auto"/>
        <w:contextualSpacing/>
        <w:rPr>
          <w:rFonts w:asciiTheme="majorHAnsi" w:hAnsiTheme="majorHAnsi" w:cstheme="minorHAnsi"/>
        </w:rPr>
      </w:pPr>
    </w:p>
    <w:p w14:paraId="359BB833"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One of the less anticipated aspects of this project was the relative lack of reference to family and home and to alternative care during the interviews with young men. This is at odds with the strength of the theme’s coverage within interviews with practitioners and also within the existing literature. When the young men interviewed did refer to these themes, it was generally to explain their current circumstances (e.g., “I just can’t live with my mum, but I love her of </w:t>
      </w:r>
      <w:r w:rsidRPr="00EE05AA">
        <w:rPr>
          <w:rFonts w:asciiTheme="majorHAnsi" w:hAnsiTheme="majorHAnsi" w:cstheme="minorHAnsi"/>
        </w:rPr>
        <w:lastRenderedPageBreak/>
        <w:t>course”) and also to explain the centrality of positive relationships within their personal lives to support changes they had made:</w:t>
      </w:r>
    </w:p>
    <w:p w14:paraId="31F648E1" w14:textId="77777777" w:rsidR="006C15DA" w:rsidRPr="00EE05AA" w:rsidRDefault="006C15DA" w:rsidP="006C15DA">
      <w:pPr>
        <w:spacing w:line="360" w:lineRule="auto"/>
        <w:contextualSpacing/>
        <w:rPr>
          <w:rFonts w:asciiTheme="majorHAnsi" w:hAnsiTheme="majorHAnsi" w:cstheme="minorHAnsi"/>
        </w:rPr>
      </w:pPr>
    </w:p>
    <w:p w14:paraId="5056BD19"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Yeah, if I didn’t have the support from [named professional], my parents and my girlfriend, I wouldn’t be where I am now and I wouldn’t be as turned around and I wouldn’t have had as much faith in, that I can actually do stuff. </w:t>
      </w:r>
      <w:proofErr w:type="gramStart"/>
      <w:r w:rsidRPr="00EE05AA">
        <w:rPr>
          <w:rFonts w:asciiTheme="majorHAnsi" w:hAnsiTheme="majorHAnsi" w:cstheme="minorHAnsi"/>
          <w:i/>
          <w:iCs/>
        </w:rPr>
        <w:t>So</w:t>
      </w:r>
      <w:proofErr w:type="gramEnd"/>
      <w:r w:rsidRPr="00EE05AA">
        <w:rPr>
          <w:rFonts w:asciiTheme="majorHAnsi" w:hAnsiTheme="majorHAnsi" w:cstheme="minorHAnsi"/>
          <w:i/>
          <w:iCs/>
        </w:rPr>
        <w:t xml:space="preserve"> like, yeah, and most of that’s down to the school system and services that don’t do what they advertise . . .  All the other kids that don’t have as good family lives or a good girlfriend or a partner supporting them and don’t have the support of someone like [named practitioner], like I would have carried on going down the wrong path and I’d probably be doing something I don’t want to do. Like, because I was going down a very bad path, and then only recently I’ve turned it around.</w:t>
      </w:r>
    </w:p>
    <w:p w14:paraId="2AA14E5C" w14:textId="77777777" w:rsidR="006C15DA" w:rsidRPr="00EE05AA" w:rsidRDefault="006C15DA" w:rsidP="006C15DA">
      <w:pPr>
        <w:spacing w:line="360" w:lineRule="auto"/>
        <w:contextualSpacing/>
        <w:rPr>
          <w:rFonts w:asciiTheme="majorHAnsi" w:hAnsiTheme="majorHAnsi" w:cstheme="minorHAnsi"/>
        </w:rPr>
      </w:pPr>
    </w:p>
    <w:p w14:paraId="0947F6F1"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Of course, not all young men interviewed, and certainly not all young men invited to be interviewed would have described such positive home and personal relationships; and this is reflected by observations made during interviews with practitioners working with local young men:</w:t>
      </w:r>
    </w:p>
    <w:p w14:paraId="28D93506" w14:textId="77777777" w:rsidR="006C15DA" w:rsidRPr="00EE05AA" w:rsidRDefault="006C15DA" w:rsidP="006C15DA">
      <w:pPr>
        <w:spacing w:line="360" w:lineRule="auto"/>
        <w:ind w:firstLine="720"/>
        <w:contextualSpacing/>
        <w:rPr>
          <w:rFonts w:asciiTheme="majorHAnsi" w:hAnsiTheme="majorHAnsi" w:cstheme="minorHAnsi"/>
        </w:rPr>
      </w:pPr>
    </w:p>
    <w:p w14:paraId="2FD3E6DF" w14:textId="6290D82D" w:rsidR="006C15DA" w:rsidRPr="00EE05AA" w:rsidRDefault="006C15DA" w:rsidP="006C15DA">
      <w:pPr>
        <w:spacing w:line="360" w:lineRule="auto"/>
        <w:ind w:left="720"/>
        <w:contextualSpacing/>
        <w:rPr>
          <w:rFonts w:asciiTheme="majorHAnsi" w:hAnsiTheme="majorHAnsi" w:cstheme="minorHAnsi"/>
          <w:i/>
          <w:iCs/>
        </w:rPr>
      </w:pPr>
      <w:proofErr w:type="gramStart"/>
      <w:r w:rsidRPr="00EE05AA">
        <w:rPr>
          <w:rFonts w:asciiTheme="majorHAnsi" w:hAnsiTheme="majorHAnsi" w:cstheme="minorHAnsi"/>
          <w:i/>
          <w:iCs/>
        </w:rPr>
        <w:t>So</w:t>
      </w:r>
      <w:proofErr w:type="gramEnd"/>
      <w:r w:rsidRPr="00EE05AA">
        <w:rPr>
          <w:rFonts w:asciiTheme="majorHAnsi" w:hAnsiTheme="majorHAnsi" w:cstheme="minorHAnsi"/>
          <w:i/>
          <w:iCs/>
        </w:rPr>
        <w:t xml:space="preserve"> mum had history of sexual abuse and she felt that she was putting that onto her son because she kept saying that “you look like dad and you’re behaving like your dad” . . . I was trying to really validate his experience of how difficult it must be to have a mum that says a) she’s suicidal, and b) that you remind her of a perpetrator of violence. And it was a real balancing act between really validating his experience but not alienating or blaming mum, so to really join them in that experience that they both want the best for each other, they both don’t want to feel like that </w:t>
      </w:r>
      <w:r w:rsidR="00E257BB">
        <w:rPr>
          <w:rFonts w:asciiTheme="majorHAnsi" w:hAnsiTheme="majorHAnsi" w:cstheme="minorHAnsi"/>
          <w:i/>
          <w:iCs/>
        </w:rPr>
        <w:t>anymor</w:t>
      </w:r>
      <w:r w:rsidRPr="00EE05AA">
        <w:rPr>
          <w:rFonts w:asciiTheme="majorHAnsi" w:hAnsiTheme="majorHAnsi" w:cstheme="minorHAnsi"/>
          <w:i/>
          <w:iCs/>
        </w:rPr>
        <w:t>e</w:t>
      </w:r>
      <w:r w:rsidR="00E257BB">
        <w:rPr>
          <w:rFonts w:asciiTheme="majorHAnsi" w:hAnsiTheme="majorHAnsi" w:cstheme="minorHAnsi"/>
          <w:i/>
          <w:iCs/>
        </w:rPr>
        <w:t>.</w:t>
      </w:r>
    </w:p>
    <w:p w14:paraId="6F4CBB9F" w14:textId="591C0830" w:rsidR="006C15DA" w:rsidRDefault="006C15DA" w:rsidP="006C15DA">
      <w:pPr>
        <w:spacing w:line="360" w:lineRule="auto"/>
        <w:contextualSpacing/>
        <w:rPr>
          <w:rFonts w:asciiTheme="majorHAnsi" w:hAnsiTheme="majorHAnsi" w:cstheme="minorHAnsi"/>
        </w:rPr>
      </w:pPr>
    </w:p>
    <w:p w14:paraId="237308B5" w14:textId="77777777" w:rsidR="00301C85" w:rsidRPr="00EE05AA" w:rsidRDefault="00301C85" w:rsidP="006C15DA">
      <w:pPr>
        <w:spacing w:line="360" w:lineRule="auto"/>
        <w:contextualSpacing/>
        <w:rPr>
          <w:rFonts w:asciiTheme="majorHAnsi" w:hAnsiTheme="majorHAnsi" w:cstheme="minorHAnsi"/>
        </w:rPr>
      </w:pPr>
    </w:p>
    <w:p w14:paraId="6DC6AEF5" w14:textId="085EE8FD" w:rsidR="006C15DA" w:rsidRPr="00B05269" w:rsidRDefault="00E86D41" w:rsidP="006C15DA">
      <w:pPr>
        <w:spacing w:line="360" w:lineRule="auto"/>
        <w:contextualSpacing/>
        <w:rPr>
          <w:rFonts w:asciiTheme="majorHAnsi" w:hAnsiTheme="majorHAnsi" w:cstheme="minorHAnsi"/>
          <w:bCs/>
          <w:i/>
          <w:iCs/>
        </w:rPr>
      </w:pPr>
      <w:r w:rsidRPr="00B05269">
        <w:rPr>
          <w:rFonts w:asciiTheme="majorHAnsi" w:hAnsiTheme="majorHAnsi" w:cstheme="minorHAnsi"/>
          <w:bCs/>
          <w:i/>
          <w:iCs/>
        </w:rPr>
        <w:lastRenderedPageBreak/>
        <w:t xml:space="preserve">5.3.1 </w:t>
      </w:r>
      <w:r w:rsidR="006C15DA" w:rsidRPr="00B05269">
        <w:rPr>
          <w:rFonts w:asciiTheme="majorHAnsi" w:hAnsiTheme="majorHAnsi" w:cstheme="minorHAnsi"/>
          <w:bCs/>
          <w:i/>
          <w:iCs/>
        </w:rPr>
        <w:t>Home environments</w:t>
      </w:r>
    </w:p>
    <w:p w14:paraId="7A32D1E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home</w:t>
      </w:r>
      <w:r w:rsidRPr="00EE05AA">
        <w:rPr>
          <w:rFonts w:asciiTheme="majorHAnsi" w:hAnsiTheme="majorHAnsi" w:cstheme="minorHAnsi"/>
          <w:i/>
          <w:iCs/>
        </w:rPr>
        <w:t xml:space="preserve"> </w:t>
      </w:r>
      <w:r w:rsidRPr="00EE05AA">
        <w:rPr>
          <w:rFonts w:asciiTheme="majorHAnsi" w:hAnsiTheme="majorHAnsi" w:cstheme="minorHAnsi"/>
        </w:rPr>
        <w:t xml:space="preserve">environment for young men – both the structural / familial home and then formal substitute care or opportunistic homes which then take significance in the lives of young men during adolescence and early adulthood – is a key area of focus within published literature. Issues of being in care and leaving care, social (especially criminal and sometimes exploitative) networks, and gang membership are explored. In a wider context, issues related to alcohol and drugs run through discussions of risky behaviours in the lives of many young men and their families, who are labelled as ‘problematic’ and / or ‘troubled’. A report by the Children’s Commissioner’s Office (2018) highlighted the “toxic trio” of </w:t>
      </w:r>
      <w:r w:rsidRPr="00EE05AA">
        <w:rPr>
          <w:rFonts w:asciiTheme="majorHAnsi" w:hAnsiTheme="majorHAnsi" w:cs="Calibri"/>
        </w:rPr>
        <w:t>﻿</w:t>
      </w:r>
      <w:r w:rsidRPr="00EE05AA">
        <w:rPr>
          <w:rFonts w:asciiTheme="majorHAnsi" w:hAnsiTheme="majorHAnsi" w:cstheme="minorHAnsi"/>
        </w:rPr>
        <w:t xml:space="preserve">domestic violence and abuse (DV&amp;A) within the household, parental substance misuse (alcohol or drugs) and parental mental health issues. </w:t>
      </w:r>
      <w:r w:rsidRPr="00EE05AA">
        <w:rPr>
          <w:rFonts w:asciiTheme="majorHAnsi" w:hAnsiTheme="majorHAnsi" w:cs="Calibri"/>
        </w:rPr>
        <w:t>﻿</w:t>
      </w:r>
      <w:r w:rsidRPr="00EE05AA">
        <w:rPr>
          <w:rFonts w:asciiTheme="majorHAnsi" w:hAnsiTheme="majorHAnsi" w:cstheme="minorHAnsi"/>
        </w:rPr>
        <w:t xml:space="preserve">The role of socio-economic contexts and experiences within which many young men locally live, including housing problems, unemployment and poverty, are also important considerations and the interplay of these key risks are widely indicated as significantly increasing the risk of </w:t>
      </w:r>
      <w:r w:rsidRPr="00EE05AA">
        <w:rPr>
          <w:rFonts w:asciiTheme="majorHAnsi" w:hAnsiTheme="majorHAnsi" w:cs="Calibri"/>
        </w:rPr>
        <w:t>﻿</w:t>
      </w:r>
      <w:r w:rsidRPr="00EE05AA">
        <w:rPr>
          <w:rFonts w:asciiTheme="majorHAnsi" w:hAnsiTheme="majorHAnsi" w:cstheme="minorHAnsi"/>
        </w:rPr>
        <w:t xml:space="preserve">harmful outcomes for children </w:t>
      </w:r>
      <w:r w:rsidRPr="00EE05AA">
        <w:rPr>
          <w:rFonts w:asciiTheme="majorHAnsi" w:hAnsiTheme="majorHAnsi" w:cstheme="minorHAnsi"/>
        </w:rPr>
        <w:fldChar w:fldCharType="begin" w:fldLock="1"/>
      </w:r>
      <w:r w:rsidRPr="00EE05AA">
        <w:rPr>
          <w:rFonts w:asciiTheme="majorHAnsi" w:hAnsiTheme="majorHAnsi" w:cstheme="minorHAnsi"/>
        </w:rPr>
        <w:instrText>ADDIN CSL_CITATION {"citationItems":[{"id":"ITEM-1","itemData":{"author":[{"dropping-particle":"","family":"Chowdry","given":"Haroon","non-dropping-particle":"","parse-names":false,"suffix":""}],"id":"ITEM-1","issue":"July","issued":{"date-parts":[["2018"]]},"title":"Estimating the prevalence of the ‘ toxic trio ’","type":"report"},"uris":["http://www.mendeley.com/documents/?uuid=9f75e5c6-3d6f-47f0-86ed-a2664bf537ae"]}],"mendeley":{"formattedCitation":"(Chowdry, 2018)","plainTextFormattedCitation":"(Chowdry, 2018)","previouslyFormattedCitation":"(Chowdry, 2018)"},"properties":{"noteIndex":0},"schema":"https://github.com/citation-style-language/schema/raw/master/csl-citation.json"}</w:instrText>
      </w:r>
      <w:r w:rsidRPr="00EE05AA">
        <w:rPr>
          <w:rFonts w:asciiTheme="majorHAnsi" w:hAnsiTheme="majorHAnsi" w:cstheme="minorHAnsi"/>
        </w:rPr>
        <w:fldChar w:fldCharType="separate"/>
      </w:r>
      <w:r w:rsidRPr="00EE05AA">
        <w:rPr>
          <w:rFonts w:asciiTheme="majorHAnsi" w:hAnsiTheme="majorHAnsi" w:cstheme="minorHAnsi"/>
          <w:noProof/>
        </w:rPr>
        <w:t>(Chowdry, 2018)</w:t>
      </w:r>
      <w:r w:rsidRPr="00EE05AA">
        <w:rPr>
          <w:rFonts w:asciiTheme="majorHAnsi" w:hAnsiTheme="majorHAnsi" w:cstheme="minorHAnsi"/>
        </w:rPr>
        <w:fldChar w:fldCharType="end"/>
      </w:r>
      <w:r w:rsidRPr="00EE05AA">
        <w:rPr>
          <w:rFonts w:asciiTheme="majorHAnsi" w:hAnsiTheme="majorHAnsi" w:cstheme="minorHAnsi"/>
        </w:rPr>
        <w:t>. Indeed, considering the economic and social circumstances in which many young men they work with are living, practitioners interviewed as part of this project commented that:</w:t>
      </w:r>
    </w:p>
    <w:p w14:paraId="0AAC8B14" w14:textId="77777777" w:rsidR="006C15DA" w:rsidRPr="00EE05AA" w:rsidRDefault="006C15DA" w:rsidP="006C15DA">
      <w:pPr>
        <w:spacing w:line="360" w:lineRule="auto"/>
        <w:ind w:left="720"/>
        <w:contextualSpacing/>
        <w:rPr>
          <w:rFonts w:asciiTheme="majorHAnsi" w:hAnsiTheme="majorHAnsi" w:cstheme="minorHAnsi"/>
        </w:rPr>
      </w:pPr>
    </w:p>
    <w:p w14:paraId="18603C3C" w14:textId="5535AFC4"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A load of kids probably who have other challenges around worklessness in the home, or financial difficulty within the home, a lack of care in the home in some circumstances, a lack of role models within the family setup, a lack of ambition or drive in their lives, a lack of role models in terms of male figures demonstrating getting up and going to work, all of that</w:t>
      </w:r>
      <w:r w:rsidR="00E257BB">
        <w:rPr>
          <w:rFonts w:asciiTheme="majorHAnsi" w:hAnsiTheme="majorHAnsi" w:cstheme="minorHAnsi"/>
          <w:i/>
          <w:iCs/>
        </w:rPr>
        <w:t>.</w:t>
      </w:r>
      <w:r w:rsidRPr="00EE05AA">
        <w:rPr>
          <w:rFonts w:asciiTheme="majorHAnsi" w:hAnsiTheme="majorHAnsi" w:cstheme="minorHAnsi"/>
          <w:i/>
          <w:iCs/>
        </w:rPr>
        <w:t xml:space="preserve"> </w:t>
      </w:r>
    </w:p>
    <w:p w14:paraId="3EF38597" w14:textId="77777777" w:rsidR="006C15DA" w:rsidRPr="00EE05AA" w:rsidRDefault="006C15DA" w:rsidP="006C15DA">
      <w:pPr>
        <w:spacing w:line="360" w:lineRule="auto"/>
        <w:contextualSpacing/>
        <w:rPr>
          <w:rFonts w:asciiTheme="majorHAnsi" w:hAnsiTheme="majorHAnsi" w:cstheme="minorHAnsi"/>
        </w:rPr>
      </w:pPr>
    </w:p>
    <w:p w14:paraId="1F58C9C0" w14:textId="05F4A56F"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If you’ve got maybe parents who don’t feel that, you know, they have everything that they need, if you’ve got a generational </w:t>
      </w:r>
      <w:r w:rsidR="00510A9D" w:rsidRPr="00EE05AA">
        <w:rPr>
          <w:rFonts w:asciiTheme="majorHAnsi" w:hAnsiTheme="majorHAnsi" w:cstheme="minorHAnsi"/>
          <w:i/>
          <w:iCs/>
        </w:rPr>
        <w:t>thing,</w:t>
      </w:r>
      <w:r w:rsidRPr="00EE05AA">
        <w:rPr>
          <w:rFonts w:asciiTheme="majorHAnsi" w:hAnsiTheme="majorHAnsi" w:cstheme="minorHAnsi"/>
          <w:i/>
          <w:iCs/>
        </w:rPr>
        <w:t xml:space="preserve"> they don’t necessarily feel the need to kind of branch out or they don’t feel that they can if they want to</w:t>
      </w:r>
      <w:r w:rsidR="00E257BB">
        <w:rPr>
          <w:rFonts w:asciiTheme="majorHAnsi" w:hAnsiTheme="majorHAnsi" w:cstheme="minorHAnsi"/>
          <w:i/>
          <w:iCs/>
        </w:rPr>
        <w:t>.</w:t>
      </w:r>
    </w:p>
    <w:p w14:paraId="2C4080B3" w14:textId="77777777" w:rsidR="006C15DA" w:rsidRPr="00EE05AA" w:rsidRDefault="006C15DA" w:rsidP="006C15DA">
      <w:pPr>
        <w:spacing w:line="360" w:lineRule="auto"/>
        <w:ind w:left="1440"/>
        <w:contextualSpacing/>
        <w:rPr>
          <w:rFonts w:asciiTheme="majorHAnsi" w:hAnsiTheme="majorHAnsi" w:cstheme="minorHAnsi"/>
        </w:rPr>
      </w:pPr>
    </w:p>
    <w:p w14:paraId="4196247A"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lastRenderedPageBreak/>
        <w:t xml:space="preserve">One local practitioner summarised the views, also expressed by others, when they stated that what practitioners ‘see’ as the behavioural result of young men’s home circumstances are often ignored, until the situation escalates to a point where more formal intervention is required, when some formerly available preventative services, no longer exist to provide that support: </w:t>
      </w:r>
    </w:p>
    <w:p w14:paraId="380220CE" w14:textId="77777777" w:rsidR="006C15DA" w:rsidRPr="00EE05AA" w:rsidRDefault="006C15DA" w:rsidP="006C15DA">
      <w:pPr>
        <w:spacing w:line="360" w:lineRule="auto"/>
        <w:ind w:firstLine="720"/>
        <w:contextualSpacing/>
        <w:rPr>
          <w:rFonts w:asciiTheme="majorHAnsi" w:hAnsiTheme="majorHAnsi" w:cstheme="minorHAnsi"/>
        </w:rPr>
      </w:pPr>
    </w:p>
    <w:p w14:paraId="44B1596D"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Just the home situations that some of these children live in and the trouble is some of them kind of are crying out for help and then they don’t get it and then they get into trouble with the law. …… the whole thing that they have to have done something before they get the help and it’s just like this kid is teetering and yet there’s that gap. </w:t>
      </w:r>
    </w:p>
    <w:p w14:paraId="62C07539" w14:textId="77777777" w:rsidR="006C15DA" w:rsidRPr="00EE05AA" w:rsidRDefault="006C15DA" w:rsidP="006C15DA">
      <w:pPr>
        <w:spacing w:line="360" w:lineRule="auto"/>
        <w:ind w:left="1440"/>
        <w:contextualSpacing/>
        <w:rPr>
          <w:rFonts w:asciiTheme="majorHAnsi" w:hAnsiTheme="majorHAnsi" w:cstheme="minorHAnsi"/>
          <w:i/>
          <w:iCs/>
        </w:rPr>
      </w:pPr>
    </w:p>
    <w:p w14:paraId="0C5E089E" w14:textId="5B20D283" w:rsidR="006C15DA" w:rsidRPr="00B05269" w:rsidRDefault="00E86D41" w:rsidP="006C15DA">
      <w:pPr>
        <w:spacing w:line="360" w:lineRule="auto"/>
        <w:contextualSpacing/>
        <w:rPr>
          <w:rFonts w:asciiTheme="majorHAnsi" w:hAnsiTheme="majorHAnsi" w:cstheme="minorHAnsi"/>
          <w:bCs/>
          <w:i/>
          <w:iCs/>
        </w:rPr>
      </w:pPr>
      <w:r w:rsidRPr="00B05269">
        <w:rPr>
          <w:rFonts w:asciiTheme="majorHAnsi" w:hAnsiTheme="majorHAnsi" w:cstheme="minorHAnsi"/>
          <w:bCs/>
          <w:i/>
          <w:iCs/>
        </w:rPr>
        <w:t xml:space="preserve">5.3.2 </w:t>
      </w:r>
      <w:r w:rsidR="006C15DA" w:rsidRPr="00B05269">
        <w:rPr>
          <w:rFonts w:asciiTheme="majorHAnsi" w:hAnsiTheme="majorHAnsi" w:cstheme="minorHAnsi"/>
          <w:bCs/>
          <w:i/>
          <w:iCs/>
        </w:rPr>
        <w:t>Experiences of trauma within the home</w:t>
      </w:r>
    </w:p>
    <w:p w14:paraId="0E7D4103" w14:textId="77777777" w:rsidR="006C15DA" w:rsidRPr="00EE05AA" w:rsidRDefault="006C15DA" w:rsidP="006C15DA">
      <w:pPr>
        <w:spacing w:line="360" w:lineRule="auto"/>
        <w:contextualSpacing/>
        <w:rPr>
          <w:rFonts w:asciiTheme="majorHAnsi" w:hAnsiTheme="majorHAnsi" w:cstheme="minorHAnsi"/>
          <w:b/>
          <w:bCs/>
        </w:rPr>
      </w:pPr>
      <w:r w:rsidRPr="00EE05AA">
        <w:rPr>
          <w:rFonts w:asciiTheme="majorHAnsi" w:hAnsiTheme="majorHAnsi" w:cstheme="minorHAnsi"/>
        </w:rPr>
        <w:t>Trauma within families / home life</w:t>
      </w:r>
      <w:r w:rsidRPr="00EE05AA">
        <w:rPr>
          <w:rFonts w:asciiTheme="majorHAnsi" w:hAnsiTheme="majorHAnsi" w:cstheme="minorHAnsi"/>
          <w:b/>
          <w:bCs/>
        </w:rPr>
        <w:t xml:space="preserve"> </w:t>
      </w:r>
      <w:r w:rsidRPr="00EE05AA">
        <w:rPr>
          <w:rFonts w:asciiTheme="majorHAnsi" w:hAnsiTheme="majorHAnsi" w:cstheme="minorHAnsi"/>
        </w:rPr>
        <w:t>emerged powerfully from the interviews completed as part of this project, especially those carried out with local practitioners. Several referred to experiences of young men’s trauma arising from abuse, whether sexual abuse or other forms of abuse within their homes, but also the impact of family members’ trauma upon family relationships and upon the young men too</w:t>
      </w:r>
      <w:r w:rsidRPr="00EE05AA">
        <w:rPr>
          <w:rFonts w:asciiTheme="majorHAnsi" w:hAnsiTheme="majorHAnsi" w:cstheme="minorHAnsi"/>
          <w:b/>
          <w:bCs/>
        </w:rPr>
        <w:t>:</w:t>
      </w:r>
    </w:p>
    <w:p w14:paraId="7633B8A0" w14:textId="77777777" w:rsidR="006C15DA" w:rsidRPr="00EE05AA" w:rsidRDefault="006C15DA" w:rsidP="006C15DA">
      <w:pPr>
        <w:spacing w:line="360" w:lineRule="auto"/>
        <w:contextualSpacing/>
        <w:rPr>
          <w:rFonts w:asciiTheme="majorHAnsi" w:hAnsiTheme="majorHAnsi" w:cstheme="minorHAnsi"/>
          <w:b/>
          <w:bCs/>
        </w:rPr>
      </w:pPr>
    </w:p>
    <w:p w14:paraId="393EB63B" w14:textId="1CF198EE"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And one of the things that I sort of like feel like is that I’d say, you know, nearly all of our cases have experienced, whether it’s, you know, domestic abuse or, you know, sort of violence from a young age and what they don’t necessarily recognise is that, you know, those feelings of fear and sort of not being able to trust and anxiety can come from those experiences as a, you know, as a child, as a baby, as a young child, and they can’t see the link so they kind of feel like the world is now a scarier place</w:t>
      </w:r>
      <w:r w:rsidR="00E257BB">
        <w:rPr>
          <w:rFonts w:asciiTheme="majorHAnsi" w:hAnsiTheme="majorHAnsi" w:cstheme="minorHAnsi"/>
          <w:i/>
          <w:iCs/>
        </w:rPr>
        <w:t>.</w:t>
      </w:r>
      <w:r w:rsidRPr="00EE05AA">
        <w:rPr>
          <w:rFonts w:asciiTheme="majorHAnsi" w:hAnsiTheme="majorHAnsi" w:cstheme="minorHAnsi"/>
          <w:i/>
          <w:iCs/>
        </w:rPr>
        <w:t xml:space="preserve"> </w:t>
      </w:r>
    </w:p>
    <w:p w14:paraId="35E1C2B0" w14:textId="77777777" w:rsidR="006C15DA" w:rsidRPr="00EE05AA" w:rsidRDefault="006C15DA" w:rsidP="006C15DA">
      <w:pPr>
        <w:spacing w:line="360" w:lineRule="auto"/>
        <w:contextualSpacing/>
        <w:rPr>
          <w:rFonts w:asciiTheme="majorHAnsi" w:hAnsiTheme="majorHAnsi" w:cstheme="minorHAnsi"/>
          <w:b/>
          <w:bCs/>
          <w:i/>
          <w:iCs/>
        </w:rPr>
      </w:pPr>
    </w:p>
    <w:p w14:paraId="30F697D4" w14:textId="68A41DE3"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And that’s in terms of fighting, you know, or getting into conflict but I kind of feel that it might be, the way he says it might be related to the abuse that he’s sort of saying, you know, I’m not going to let people hurt me or take advantage of me again</w:t>
      </w:r>
      <w:r w:rsidR="00E257BB">
        <w:rPr>
          <w:rFonts w:asciiTheme="majorHAnsi" w:hAnsiTheme="majorHAnsi" w:cstheme="minorHAnsi"/>
          <w:i/>
          <w:iCs/>
        </w:rPr>
        <w:t>.</w:t>
      </w:r>
    </w:p>
    <w:p w14:paraId="7F2B7B33" w14:textId="77777777" w:rsidR="006C15DA" w:rsidRPr="00EE05AA" w:rsidRDefault="006C15DA" w:rsidP="006C15DA">
      <w:pPr>
        <w:spacing w:line="360" w:lineRule="auto"/>
        <w:contextualSpacing/>
        <w:rPr>
          <w:rFonts w:asciiTheme="majorHAnsi" w:hAnsiTheme="majorHAnsi" w:cstheme="minorHAnsi"/>
        </w:rPr>
      </w:pPr>
    </w:p>
    <w:p w14:paraId="422255E7" w14:textId="735C1B5E" w:rsidR="006C15DA" w:rsidRPr="00EE05AA" w:rsidRDefault="006C15DA" w:rsidP="00252AFB">
      <w:pPr>
        <w:spacing w:line="360" w:lineRule="auto"/>
        <w:contextualSpacing/>
        <w:rPr>
          <w:rFonts w:asciiTheme="majorHAnsi" w:hAnsiTheme="majorHAnsi" w:cstheme="minorBidi"/>
        </w:rPr>
      </w:pPr>
      <w:r w:rsidRPr="088F2921">
        <w:rPr>
          <w:rFonts w:asciiTheme="majorHAnsi" w:hAnsiTheme="majorHAnsi" w:cstheme="minorBidi"/>
        </w:rPr>
        <w:t xml:space="preserve">Other interviewees </w:t>
      </w:r>
      <w:r w:rsidRPr="00301C85">
        <w:rPr>
          <w:rFonts w:asciiTheme="majorHAnsi" w:hAnsiTheme="majorHAnsi" w:cstheme="minorBidi"/>
        </w:rPr>
        <w:t xml:space="preserve">made an explicit connection between use of drugs – especially cannabis – and trauma histories (see also </w:t>
      </w:r>
      <w:r w:rsidRPr="00301C85">
        <w:rPr>
          <w:rFonts w:asciiTheme="majorHAnsi" w:hAnsiTheme="majorHAnsi" w:cstheme="minorBidi"/>
          <w:b/>
          <w:bCs/>
        </w:rPr>
        <w:t xml:space="preserve">Mental health and substance </w:t>
      </w:r>
      <w:proofErr w:type="gramStart"/>
      <w:r w:rsidRPr="00301C85">
        <w:rPr>
          <w:rFonts w:asciiTheme="majorHAnsi" w:hAnsiTheme="majorHAnsi" w:cstheme="minorBidi"/>
          <w:b/>
          <w:bCs/>
        </w:rPr>
        <w:t>use</w:t>
      </w:r>
      <w:r w:rsidR="00301C85" w:rsidRPr="00301C85">
        <w:rPr>
          <w:rFonts w:asciiTheme="majorHAnsi" w:hAnsiTheme="majorHAnsi" w:cstheme="minorBidi"/>
          <w:b/>
          <w:bCs/>
        </w:rPr>
        <w:t xml:space="preserve">, </w:t>
      </w:r>
      <w:r w:rsidRPr="00301C85">
        <w:rPr>
          <w:rFonts w:asciiTheme="majorHAnsi" w:hAnsiTheme="majorHAnsi" w:cstheme="minorBidi"/>
          <w:b/>
          <w:bCs/>
        </w:rPr>
        <w:t xml:space="preserve"> </w:t>
      </w:r>
      <w:r w:rsidR="00301C85" w:rsidRPr="00301C85">
        <w:rPr>
          <w:rFonts w:asciiTheme="majorHAnsi" w:hAnsiTheme="majorHAnsi" w:cstheme="minorBidi"/>
          <w:b/>
          <w:bCs/>
        </w:rPr>
        <w:t>S</w:t>
      </w:r>
      <w:r w:rsidRPr="00301C85">
        <w:rPr>
          <w:rFonts w:asciiTheme="majorHAnsi" w:hAnsiTheme="majorHAnsi" w:cstheme="minorBidi"/>
          <w:b/>
          <w:bCs/>
        </w:rPr>
        <w:t>ection</w:t>
      </w:r>
      <w:proofErr w:type="gramEnd"/>
      <w:r w:rsidR="00301C85" w:rsidRPr="00301C85">
        <w:rPr>
          <w:rFonts w:asciiTheme="majorHAnsi" w:hAnsiTheme="majorHAnsi" w:cstheme="minorBidi"/>
          <w:b/>
          <w:bCs/>
        </w:rPr>
        <w:t xml:space="preserve"> 5.5</w:t>
      </w:r>
      <w:r w:rsidRPr="00301C85">
        <w:rPr>
          <w:rFonts w:asciiTheme="majorHAnsi" w:hAnsiTheme="majorHAnsi" w:cstheme="minorBidi"/>
        </w:rPr>
        <w:t>).</w:t>
      </w:r>
    </w:p>
    <w:p w14:paraId="3A465ADB" w14:textId="77777777" w:rsidR="006C15DA" w:rsidRPr="00EE05AA" w:rsidRDefault="006C15DA" w:rsidP="006C15DA">
      <w:pPr>
        <w:spacing w:line="360" w:lineRule="auto"/>
        <w:ind w:firstLine="720"/>
        <w:contextualSpacing/>
        <w:rPr>
          <w:rFonts w:asciiTheme="majorHAnsi" w:hAnsiTheme="majorHAnsi" w:cstheme="minorHAnsi"/>
        </w:rPr>
      </w:pPr>
    </w:p>
    <w:p w14:paraId="38185887"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For some other practitioners, there was a recognition of the complex family dynamics that may occur where a member of the family attempts to protect others from the details and impact of their trauma by not sharing how they are, and the power of this burden upon young men in particular. </w:t>
      </w:r>
    </w:p>
    <w:p w14:paraId="19090C23" w14:textId="77777777" w:rsidR="006C15DA" w:rsidRPr="00EE05AA" w:rsidRDefault="006C15DA" w:rsidP="006C15DA">
      <w:pPr>
        <w:spacing w:line="360" w:lineRule="auto"/>
        <w:ind w:firstLine="720"/>
        <w:contextualSpacing/>
        <w:rPr>
          <w:rFonts w:asciiTheme="majorHAnsi" w:hAnsiTheme="majorHAnsi" w:cstheme="minorHAnsi"/>
        </w:rPr>
      </w:pPr>
    </w:p>
    <w:p w14:paraId="0B234D1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Furthermore, some interviewees identified the potential for households without any male role models to negatively impact upon young men’s sense of self, purpose and:</w:t>
      </w:r>
    </w:p>
    <w:p w14:paraId="64506169" w14:textId="77777777" w:rsidR="006C15DA" w:rsidRPr="00EE05AA" w:rsidRDefault="006C15DA" w:rsidP="006C15DA">
      <w:pPr>
        <w:spacing w:line="360" w:lineRule="auto"/>
        <w:contextualSpacing/>
        <w:rPr>
          <w:rFonts w:asciiTheme="majorHAnsi" w:hAnsiTheme="majorHAnsi" w:cstheme="minorHAnsi"/>
        </w:rPr>
      </w:pPr>
    </w:p>
    <w:p w14:paraId="7AB5E9FC" w14:textId="37B1A25B" w:rsidR="006C15DA" w:rsidRPr="00EE05AA" w:rsidRDefault="006C15DA" w:rsidP="006C15DA">
      <w:pPr>
        <w:spacing w:line="360" w:lineRule="auto"/>
        <w:ind w:left="720"/>
        <w:contextualSpacing/>
        <w:rPr>
          <w:rFonts w:asciiTheme="majorHAnsi" w:hAnsiTheme="majorHAnsi" w:cstheme="minorHAnsi"/>
          <w:b/>
          <w:bCs/>
          <w:i/>
          <w:iCs/>
        </w:rPr>
      </w:pPr>
      <w:r w:rsidRPr="00EE05AA">
        <w:rPr>
          <w:rFonts w:asciiTheme="majorHAnsi" w:hAnsiTheme="majorHAnsi" w:cstheme="minorHAnsi"/>
          <w:i/>
          <w:iCs/>
        </w:rPr>
        <w:t>…how men think that they should be and masculinity, it’s so confusing, it’s just so confusing for people to make sort of sense of how they should be in the world. And obviously family of origin plays a massive part of that and the men that are in your life influence your life</w:t>
      </w:r>
      <w:r w:rsidR="00E257BB">
        <w:rPr>
          <w:rFonts w:asciiTheme="majorHAnsi" w:hAnsiTheme="majorHAnsi" w:cstheme="minorHAnsi"/>
          <w:i/>
          <w:iCs/>
        </w:rPr>
        <w:t>.</w:t>
      </w:r>
    </w:p>
    <w:p w14:paraId="2FDE5784" w14:textId="77777777" w:rsidR="006C15DA" w:rsidRPr="00EE05AA" w:rsidRDefault="006C15DA" w:rsidP="006C15DA">
      <w:pPr>
        <w:spacing w:line="360" w:lineRule="auto"/>
        <w:contextualSpacing/>
        <w:rPr>
          <w:rFonts w:asciiTheme="majorHAnsi" w:hAnsiTheme="majorHAnsi" w:cstheme="minorHAnsi"/>
        </w:rPr>
      </w:pPr>
    </w:p>
    <w:p w14:paraId="7FD03D3D" w14:textId="0FB485E6"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For some practitioners, this led to some reflections about </w:t>
      </w:r>
      <w:r w:rsidRPr="00301C85">
        <w:rPr>
          <w:rFonts w:asciiTheme="majorHAnsi" w:hAnsiTheme="majorHAnsi" w:cstheme="minorHAnsi"/>
        </w:rPr>
        <w:t xml:space="preserve">the potential impact of their own gender upon young men (see </w:t>
      </w:r>
      <w:r w:rsidRPr="00301C85">
        <w:rPr>
          <w:rFonts w:asciiTheme="majorHAnsi" w:hAnsiTheme="majorHAnsi" w:cstheme="minorHAnsi"/>
          <w:b/>
          <w:bCs/>
        </w:rPr>
        <w:t>Masculinities and other identities</w:t>
      </w:r>
      <w:r w:rsidR="00301C85" w:rsidRPr="00301C85">
        <w:rPr>
          <w:rFonts w:asciiTheme="majorHAnsi" w:hAnsiTheme="majorHAnsi" w:cstheme="minorHAnsi"/>
          <w:b/>
          <w:bCs/>
        </w:rPr>
        <w:t xml:space="preserve">, Section </w:t>
      </w:r>
      <w:r w:rsidR="00301C85">
        <w:rPr>
          <w:rFonts w:asciiTheme="majorHAnsi" w:hAnsiTheme="majorHAnsi" w:cstheme="minorHAnsi"/>
          <w:b/>
          <w:bCs/>
        </w:rPr>
        <w:t>5</w:t>
      </w:r>
      <w:r w:rsidR="00301C85" w:rsidRPr="00301C85">
        <w:rPr>
          <w:rFonts w:asciiTheme="majorHAnsi" w:hAnsiTheme="majorHAnsi" w:cstheme="minorHAnsi"/>
          <w:b/>
          <w:bCs/>
        </w:rPr>
        <w:t>.2</w:t>
      </w:r>
      <w:r w:rsidRPr="00301C85">
        <w:rPr>
          <w:rFonts w:asciiTheme="majorHAnsi" w:hAnsiTheme="majorHAnsi" w:cstheme="minorHAnsi"/>
        </w:rPr>
        <w:t>)</w:t>
      </w:r>
      <w:r w:rsidRPr="00EE05AA">
        <w:rPr>
          <w:rFonts w:asciiTheme="majorHAnsi" w:hAnsiTheme="majorHAnsi" w:cstheme="minorHAnsi"/>
        </w:rPr>
        <w:t xml:space="preserve">  </w:t>
      </w:r>
    </w:p>
    <w:p w14:paraId="3E3E0F31" w14:textId="77777777" w:rsidR="007813F2" w:rsidRPr="00EE05AA" w:rsidRDefault="007813F2" w:rsidP="006C15DA">
      <w:pPr>
        <w:spacing w:line="360" w:lineRule="auto"/>
        <w:contextualSpacing/>
        <w:rPr>
          <w:rFonts w:asciiTheme="majorHAnsi" w:hAnsiTheme="majorHAnsi" w:cstheme="minorHAnsi"/>
        </w:rPr>
      </w:pPr>
    </w:p>
    <w:p w14:paraId="5551A29B" w14:textId="77777777" w:rsidR="006C15DA" w:rsidRPr="00EE05AA" w:rsidRDefault="006C15DA" w:rsidP="006C15DA">
      <w:pPr>
        <w:spacing w:line="360" w:lineRule="auto"/>
        <w:contextualSpacing/>
        <w:rPr>
          <w:rFonts w:asciiTheme="majorHAnsi" w:hAnsiTheme="majorHAnsi" w:cstheme="minorHAnsi"/>
        </w:rPr>
      </w:pPr>
    </w:p>
    <w:p w14:paraId="37D7E4DB" w14:textId="75ED072B" w:rsidR="006C15DA" w:rsidRPr="00B05269" w:rsidRDefault="00E86D41" w:rsidP="006C15DA">
      <w:pPr>
        <w:spacing w:line="360" w:lineRule="auto"/>
        <w:contextualSpacing/>
        <w:rPr>
          <w:rFonts w:asciiTheme="majorHAnsi" w:hAnsiTheme="majorHAnsi" w:cstheme="minorHAnsi"/>
          <w:bCs/>
          <w:i/>
          <w:iCs/>
        </w:rPr>
      </w:pPr>
      <w:r w:rsidRPr="00B05269">
        <w:rPr>
          <w:rFonts w:asciiTheme="majorHAnsi" w:hAnsiTheme="majorHAnsi" w:cstheme="minorHAnsi"/>
          <w:bCs/>
          <w:i/>
          <w:iCs/>
        </w:rPr>
        <w:t xml:space="preserve">5.3.3 </w:t>
      </w:r>
      <w:r w:rsidR="006C15DA" w:rsidRPr="00B05269">
        <w:rPr>
          <w:rFonts w:asciiTheme="majorHAnsi" w:hAnsiTheme="majorHAnsi" w:cstheme="minorHAnsi"/>
          <w:bCs/>
          <w:i/>
          <w:iCs/>
        </w:rPr>
        <w:t xml:space="preserve">Moving on from home, care and children’s services </w:t>
      </w:r>
    </w:p>
    <w:p w14:paraId="70738983"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One family / home-related issue that was identified by several practitioners interviewed was the challenge of working with young men who were living in insecure or unstable environments. Working to effect change and positive decision making was made all the more challenging when working with a young man for whom housing may be withdrawn when they reached the age of 16, or as a result of other family needs: </w:t>
      </w:r>
    </w:p>
    <w:p w14:paraId="1B6F4C45" w14:textId="77777777" w:rsidR="006C15DA" w:rsidRPr="00EE05AA" w:rsidRDefault="006C15DA" w:rsidP="006C15DA">
      <w:pPr>
        <w:spacing w:line="360" w:lineRule="auto"/>
        <w:contextualSpacing/>
        <w:rPr>
          <w:rFonts w:asciiTheme="majorHAnsi" w:hAnsiTheme="majorHAnsi" w:cstheme="minorHAnsi"/>
        </w:rPr>
      </w:pPr>
    </w:p>
    <w:p w14:paraId="17CDB947" w14:textId="79163519"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Some of the young men I work with are in really, really difficult situations at home and, but because they’re 17, they’re not going to, they can’t go into care, they’re not going to go into care at that age and the other options, because there’s not necessarily enough space, you know, if they’d come out and go into supported accommodation they’re likely to go into like emergency accommodation initially where okay they might be quite risky but they’re also really vulnerable in that environment, you know, and there’s not the support in emergency accommodation that there would be in like supported accommodation</w:t>
      </w:r>
      <w:r w:rsidR="00E257BB">
        <w:rPr>
          <w:rFonts w:asciiTheme="majorHAnsi" w:hAnsiTheme="majorHAnsi" w:cstheme="minorHAnsi"/>
          <w:i/>
          <w:iCs/>
        </w:rPr>
        <w:t>.</w:t>
      </w:r>
    </w:p>
    <w:p w14:paraId="4A4993D6" w14:textId="77777777" w:rsidR="006C15DA" w:rsidRPr="00EE05AA" w:rsidRDefault="006C15DA" w:rsidP="006C15DA">
      <w:pPr>
        <w:spacing w:line="360" w:lineRule="auto"/>
        <w:contextualSpacing/>
        <w:rPr>
          <w:rFonts w:asciiTheme="majorHAnsi" w:hAnsiTheme="majorHAnsi" w:cstheme="minorHAnsi"/>
          <w:i/>
          <w:iCs/>
        </w:rPr>
      </w:pPr>
    </w:p>
    <w:p w14:paraId="03B957AE" w14:textId="2648201C"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A lot of the boys particularly in the past, well I don’t know, there’s a lot of sofa surfing and a lot of overcrowding in homes and obviously as they get bigger and older that’s really difficult and it causes huge pressures within the home and then there’s arguments and the relationships break down and then it affects everything, affects their education because they’re tired, they’ve got nowhere to live, you know. </w:t>
      </w:r>
      <w:proofErr w:type="gramStart"/>
      <w:r w:rsidRPr="00EE05AA">
        <w:rPr>
          <w:rFonts w:asciiTheme="majorHAnsi" w:hAnsiTheme="majorHAnsi" w:cstheme="minorHAnsi"/>
          <w:i/>
          <w:iCs/>
        </w:rPr>
        <w:t>So</w:t>
      </w:r>
      <w:proofErr w:type="gramEnd"/>
      <w:r w:rsidRPr="00EE05AA">
        <w:rPr>
          <w:rFonts w:asciiTheme="majorHAnsi" w:hAnsiTheme="majorHAnsi" w:cstheme="minorHAnsi"/>
          <w:i/>
          <w:iCs/>
        </w:rPr>
        <w:t xml:space="preserve"> it’s just like, and it is a real hidden problem I think. And, you know, we’ve had kids before that eventually get housed or their parents, quite often they’ll say, “We’re chucking them out as soon as they’re 16,” and you’re like, “Well it’s September, they’re 16 next month, they still need to be in school, just because they’re magically 16 doesn’t, you know,” so obviously we try to engage with the families but it’s very hard for us</w:t>
      </w:r>
      <w:r w:rsidR="00E257BB">
        <w:rPr>
          <w:rFonts w:asciiTheme="majorHAnsi" w:hAnsiTheme="majorHAnsi" w:cstheme="minorHAnsi"/>
          <w:i/>
          <w:iCs/>
        </w:rPr>
        <w:t>.</w:t>
      </w:r>
    </w:p>
    <w:p w14:paraId="78656701"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b/>
      </w:r>
    </w:p>
    <w:p w14:paraId="652D856D"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The relevance of this wider context for the efficacy of the work being carried out with young men was highlighted clearly by one practitioner who explained that: </w:t>
      </w:r>
    </w:p>
    <w:p w14:paraId="1E648E60" w14:textId="77777777" w:rsidR="006C15DA" w:rsidRPr="00EE05AA" w:rsidRDefault="006C15DA" w:rsidP="006C15DA">
      <w:pPr>
        <w:spacing w:line="360" w:lineRule="auto"/>
        <w:ind w:firstLine="720"/>
        <w:contextualSpacing/>
        <w:rPr>
          <w:rFonts w:asciiTheme="majorHAnsi" w:hAnsiTheme="majorHAnsi" w:cstheme="minorHAnsi"/>
          <w:b/>
          <w:bCs/>
        </w:rPr>
      </w:pPr>
    </w:p>
    <w:p w14:paraId="12B6C24F" w14:textId="77777777"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 xml:space="preserve">Sometimes it feels like too much has happened to a young person and it’s like, or sometimes they’re still in a very unsettled environment or, you know, they’ve got a very challenging home life going on and yet we’re meant to deal with the offending but </w:t>
      </w:r>
      <w:r w:rsidRPr="00EE05AA">
        <w:rPr>
          <w:rFonts w:asciiTheme="majorHAnsi" w:hAnsiTheme="majorHAnsi" w:cstheme="minorHAnsi"/>
          <w:i/>
          <w:iCs/>
        </w:rPr>
        <w:lastRenderedPageBreak/>
        <w:t>they’re not stable at home so they’re not, you know, it’s sort of in conflict</w:t>
      </w:r>
      <w:r w:rsidRPr="00EE05AA">
        <w:rPr>
          <w:rFonts w:asciiTheme="majorHAnsi" w:hAnsiTheme="majorHAnsi" w:cstheme="minorHAnsi"/>
        </w:rPr>
        <w:t>.</w:t>
      </w:r>
      <w:r w:rsidRPr="00EE05AA">
        <w:rPr>
          <w:rFonts w:asciiTheme="majorHAnsi" w:hAnsiTheme="majorHAnsi" w:cstheme="minorHAnsi"/>
        </w:rPr>
        <w:br/>
      </w:r>
    </w:p>
    <w:p w14:paraId="0849047A" w14:textId="3B06665C" w:rsidR="006C15DA" w:rsidRPr="00B05269" w:rsidRDefault="00E86D41" w:rsidP="006C15DA">
      <w:pPr>
        <w:spacing w:line="360" w:lineRule="auto"/>
        <w:contextualSpacing/>
        <w:rPr>
          <w:rFonts w:asciiTheme="majorHAnsi" w:hAnsiTheme="majorHAnsi" w:cstheme="minorHAnsi"/>
          <w:bCs/>
          <w:i/>
          <w:iCs/>
        </w:rPr>
      </w:pPr>
      <w:r w:rsidRPr="00B05269">
        <w:rPr>
          <w:rFonts w:asciiTheme="majorHAnsi" w:hAnsiTheme="majorHAnsi" w:cstheme="minorHAnsi"/>
          <w:bCs/>
          <w:i/>
          <w:iCs/>
        </w:rPr>
        <w:t xml:space="preserve">5.3.4 </w:t>
      </w:r>
      <w:r w:rsidR="006C15DA" w:rsidRPr="00B05269">
        <w:rPr>
          <w:rFonts w:asciiTheme="majorHAnsi" w:hAnsiTheme="majorHAnsi" w:cstheme="minorHAnsi"/>
          <w:bCs/>
          <w:i/>
          <w:iCs/>
        </w:rPr>
        <w:t>Working with young men, but supporting the wider family</w:t>
      </w:r>
    </w:p>
    <w:p w14:paraId="743D8380"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For many practitioners interviewed, some of the wider factors affecting family life and the context within which their primary ‘client’ was living meant an explicit, official or unofficial focus upon the ‘health’ of the wider family system. For example, one practitioner working within an educational setting explained that: </w:t>
      </w:r>
    </w:p>
    <w:p w14:paraId="76EAB4C4" w14:textId="77777777" w:rsidR="006C15DA" w:rsidRPr="00EE05AA" w:rsidRDefault="006C15DA" w:rsidP="006C15DA">
      <w:pPr>
        <w:spacing w:line="360" w:lineRule="auto"/>
        <w:contextualSpacing/>
        <w:rPr>
          <w:rFonts w:asciiTheme="majorHAnsi" w:hAnsiTheme="majorHAnsi" w:cstheme="minorHAnsi"/>
        </w:rPr>
      </w:pPr>
    </w:p>
    <w:p w14:paraId="2525B95E" w14:textId="37D48F56" w:rsidR="006C15DA" w:rsidRPr="00EE05AA" w:rsidRDefault="006C15DA" w:rsidP="006C15DA">
      <w:pPr>
        <w:spacing w:line="360" w:lineRule="auto"/>
        <w:ind w:left="720"/>
        <w:contextualSpacing/>
        <w:rPr>
          <w:rFonts w:asciiTheme="majorHAnsi" w:hAnsiTheme="majorHAnsi" w:cstheme="minorHAnsi"/>
          <w:i/>
          <w:iCs/>
        </w:rPr>
      </w:pPr>
      <w:proofErr w:type="gramStart"/>
      <w:r w:rsidRPr="00EE05AA">
        <w:rPr>
          <w:rFonts w:asciiTheme="majorHAnsi" w:hAnsiTheme="majorHAnsi" w:cstheme="minorHAnsi"/>
          <w:i/>
          <w:iCs/>
        </w:rPr>
        <w:t>So</w:t>
      </w:r>
      <w:proofErr w:type="gramEnd"/>
      <w:r w:rsidRPr="00EE05AA">
        <w:rPr>
          <w:rFonts w:asciiTheme="majorHAnsi" w:hAnsiTheme="majorHAnsi" w:cstheme="minorHAnsi"/>
          <w:i/>
          <w:iCs/>
        </w:rPr>
        <w:t xml:space="preserve"> they might ring up ostensibly about one thing and you’re still on the phone to them half an hour later. And, you know, I don’t think, they don’t know who to go to for help . . . They do tend to then come to trust us and yeah . . . So the parents are sometimes exhausted and a lot of the kids that come to the hub they’ve been to more than one school, you know, probably the majority, the parents are exhausted by that time, “Oh it’s another school to engage with, oh it’s another thing”, you know, and we always say to them, you know, “Please answer the phone to us, it’s not always bad news”, you know. We kind of try and get that sort of relationship with them</w:t>
      </w:r>
      <w:r w:rsidR="00E257BB">
        <w:rPr>
          <w:rFonts w:asciiTheme="majorHAnsi" w:hAnsiTheme="majorHAnsi" w:cstheme="minorHAnsi"/>
          <w:i/>
          <w:iCs/>
        </w:rPr>
        <w:t>.</w:t>
      </w:r>
    </w:p>
    <w:p w14:paraId="33450FDC" w14:textId="77777777" w:rsidR="006C15DA" w:rsidRPr="00EE05AA" w:rsidRDefault="006C15DA" w:rsidP="006C15DA">
      <w:pPr>
        <w:spacing w:line="360" w:lineRule="auto"/>
        <w:contextualSpacing/>
        <w:rPr>
          <w:rFonts w:asciiTheme="majorHAnsi" w:hAnsiTheme="majorHAnsi" w:cstheme="minorHAnsi"/>
        </w:rPr>
      </w:pPr>
    </w:p>
    <w:p w14:paraId="7B7E340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Also, from within an educational setting, one practitioner referred to a previously available scheme whereby external ‘advocates’ had worked with young men and their parents / carers to provide a key link between home and school and to hold all parties, especially parents, to account where agreements were not maintained, whilst also advocating for the young person’s needs, especially where perhaps, their place within the school was at risk. Indeed, this interviewee observed that:</w:t>
      </w:r>
    </w:p>
    <w:p w14:paraId="339FBB5A" w14:textId="77777777" w:rsidR="006C15DA" w:rsidRPr="00EE05AA" w:rsidRDefault="006C15DA" w:rsidP="006C15DA">
      <w:pPr>
        <w:spacing w:line="360" w:lineRule="auto"/>
        <w:contextualSpacing/>
        <w:rPr>
          <w:rFonts w:asciiTheme="majorHAnsi" w:hAnsiTheme="majorHAnsi" w:cstheme="minorHAnsi"/>
        </w:rPr>
      </w:pPr>
    </w:p>
    <w:p w14:paraId="11E34371" w14:textId="47BCD7B4"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Cs/>
        </w:rPr>
        <w:t>[Practitioner]</w:t>
      </w:r>
      <w:r w:rsidRPr="00EE05AA">
        <w:rPr>
          <w:rFonts w:asciiTheme="majorHAnsi" w:hAnsiTheme="majorHAnsi" w:cstheme="minorHAnsi"/>
          <w:i/>
        </w:rPr>
        <w:t xml:space="preserve"> Parents become either, I don’t know, they either become complicit because actually it’s easier actually to side with the young man against the school, because when they get home then they were together and it was, you know, we’re side-by-side and that </w:t>
      </w:r>
      <w:r w:rsidRPr="00EE05AA">
        <w:rPr>
          <w:rFonts w:asciiTheme="majorHAnsi" w:hAnsiTheme="majorHAnsi" w:cstheme="minorHAnsi"/>
          <w:i/>
        </w:rPr>
        <w:lastRenderedPageBreak/>
        <w:t>school and that school, rather than holding an adult line and being prepared to actually not agree with your son, and hold them to account for their behaviour, because actually that they know actually it’s going to be tough when they get home again</w:t>
      </w:r>
      <w:r w:rsidR="00E257BB">
        <w:rPr>
          <w:rFonts w:asciiTheme="majorHAnsi" w:hAnsiTheme="majorHAnsi" w:cstheme="minorHAnsi"/>
          <w:i/>
        </w:rPr>
        <w:t>.</w:t>
      </w:r>
    </w:p>
    <w:p w14:paraId="569EEE10"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b/>
      </w:r>
      <w:r w:rsidRPr="00EE05AA">
        <w:rPr>
          <w:rFonts w:asciiTheme="majorHAnsi" w:hAnsiTheme="majorHAnsi" w:cstheme="minorHAnsi"/>
        </w:rPr>
        <w:tab/>
      </w:r>
    </w:p>
    <w:p w14:paraId="2A1FB581"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Similarly, in a local organisation supporting young people exploring issues of sexual orientation and identity, practitioners interviewed explained that: </w:t>
      </w:r>
    </w:p>
    <w:p w14:paraId="1D82D99A" w14:textId="77777777" w:rsidR="006C15DA" w:rsidRPr="00EE05AA" w:rsidRDefault="006C15DA" w:rsidP="006C15DA">
      <w:pPr>
        <w:spacing w:line="360" w:lineRule="auto"/>
        <w:contextualSpacing/>
        <w:rPr>
          <w:rFonts w:asciiTheme="majorHAnsi" w:hAnsiTheme="majorHAnsi" w:cstheme="minorHAnsi"/>
        </w:rPr>
      </w:pPr>
    </w:p>
    <w:p w14:paraId="3FE2A437" w14:textId="3388D301" w:rsidR="006C15DA" w:rsidRPr="00EE05AA" w:rsidRDefault="006C15DA" w:rsidP="006C15DA">
      <w:pPr>
        <w:spacing w:line="360" w:lineRule="auto"/>
        <w:ind w:left="720"/>
        <w:contextualSpacing/>
        <w:rPr>
          <w:rFonts w:asciiTheme="majorHAnsi" w:hAnsiTheme="majorHAnsi" w:cstheme="minorHAnsi"/>
          <w:b/>
          <w:bCs/>
          <w:i/>
          <w:iCs/>
        </w:rPr>
      </w:pPr>
      <w:r w:rsidRPr="00EE05AA">
        <w:rPr>
          <w:rFonts w:asciiTheme="majorHAnsi" w:hAnsiTheme="majorHAnsi" w:cstheme="minorHAnsi"/>
          <w:i/>
          <w:iCs/>
        </w:rPr>
        <w:t>We now have a real core group of parents who come and have been coming for years and their kids and young people have now grown up but they feel so strongly that they want to help others and also, again it’s about that role modelling, it’s like, “We’ve been there, we’ve done that but look, hey, we got there, we got there”</w:t>
      </w:r>
      <w:r w:rsidR="00E257BB">
        <w:rPr>
          <w:rFonts w:asciiTheme="majorHAnsi" w:hAnsiTheme="majorHAnsi" w:cstheme="minorHAnsi"/>
          <w:i/>
          <w:iCs/>
        </w:rPr>
        <w:t>.</w:t>
      </w:r>
      <w:r w:rsidRPr="00EE05AA">
        <w:rPr>
          <w:rFonts w:asciiTheme="majorHAnsi" w:hAnsiTheme="majorHAnsi" w:cstheme="minorHAnsi"/>
          <w:i/>
          <w:iCs/>
        </w:rPr>
        <w:br/>
      </w:r>
    </w:p>
    <w:p w14:paraId="74C29F74"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 further sub-theme that emerged from interviews with local practitioners relates to the experiences of parents and carers of having young men within the home. In particular, not being sure what the young man was ‘up to’ and concern about their apparently secretive lives, and the potential for this to affect trust and relationships both within the home but also outside of it:</w:t>
      </w:r>
    </w:p>
    <w:p w14:paraId="696C1E4C" w14:textId="77777777" w:rsidR="006C15DA" w:rsidRPr="00EE05AA" w:rsidRDefault="006C15DA" w:rsidP="006C15DA">
      <w:pPr>
        <w:spacing w:line="360" w:lineRule="auto"/>
        <w:ind w:firstLine="720"/>
        <w:contextualSpacing/>
        <w:rPr>
          <w:rFonts w:asciiTheme="majorHAnsi" w:hAnsiTheme="majorHAnsi" w:cstheme="minorHAnsi"/>
        </w:rPr>
      </w:pPr>
    </w:p>
    <w:p w14:paraId="73D33EDF" w14:textId="09E6202B" w:rsidR="006C15D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 think like it’s sort of paranoia and a lot of mistrust, a lot of sort of “I don’t know what he’s doing, I don’t know what they’re going to do” and because of that like, you know, that’s one of the reasons that I feel that a lot of young men carry weapons because there’s a lot of distrust within, even within, you know, they might have quite a large peer group but even within that group I don’t necessarily always think that they’re trusting each other</w:t>
      </w:r>
      <w:r w:rsidR="00E257BB">
        <w:rPr>
          <w:rFonts w:asciiTheme="majorHAnsi" w:hAnsiTheme="majorHAnsi" w:cstheme="minorHAnsi"/>
          <w:i/>
          <w:iCs/>
        </w:rPr>
        <w:t>.</w:t>
      </w:r>
    </w:p>
    <w:p w14:paraId="14C89D9C" w14:textId="39C4B159" w:rsidR="007813F2" w:rsidRDefault="007813F2" w:rsidP="00B05269">
      <w:pPr>
        <w:spacing w:line="360" w:lineRule="auto"/>
        <w:contextualSpacing/>
        <w:rPr>
          <w:rFonts w:asciiTheme="majorHAnsi" w:hAnsiTheme="majorHAnsi" w:cstheme="minorHAnsi"/>
          <w:i/>
          <w:iCs/>
        </w:rPr>
      </w:pPr>
    </w:p>
    <w:p w14:paraId="49D47BC9" w14:textId="77777777" w:rsidR="00301C85" w:rsidRDefault="00301C85" w:rsidP="00B05269">
      <w:pPr>
        <w:spacing w:line="360" w:lineRule="auto"/>
        <w:contextualSpacing/>
        <w:rPr>
          <w:rFonts w:asciiTheme="majorHAnsi" w:hAnsiTheme="majorHAnsi" w:cstheme="minorHAnsi"/>
          <w:i/>
          <w:iCs/>
        </w:rPr>
      </w:pPr>
    </w:p>
    <w:p w14:paraId="6189985F" w14:textId="77777777" w:rsidR="007813F2" w:rsidRPr="00EE05AA" w:rsidRDefault="007813F2" w:rsidP="006C15DA">
      <w:pPr>
        <w:spacing w:line="360" w:lineRule="auto"/>
        <w:ind w:left="720"/>
        <w:contextualSpacing/>
        <w:rPr>
          <w:rFonts w:asciiTheme="majorHAnsi" w:hAnsiTheme="majorHAnsi" w:cstheme="minorHAnsi"/>
        </w:rPr>
      </w:pPr>
    </w:p>
    <w:p w14:paraId="0A1FD51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lastRenderedPageBreak/>
        <w:t>Implications for practice</w:t>
      </w:r>
    </w:p>
    <w:p w14:paraId="023FAD27" w14:textId="77777777" w:rsidR="006C15DA" w:rsidRPr="00EE05AA" w:rsidRDefault="006C15DA" w:rsidP="0080697E">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The importance of systemic and ecological understanding of the systems in which young men reside and the impact of these upon their experiences and their ability to access services, to be acknowledged and recognised.</w:t>
      </w:r>
    </w:p>
    <w:p w14:paraId="5FE26F0F"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0CCB6DA5" w14:textId="77777777" w:rsidR="006C15DA" w:rsidRPr="00EE05AA" w:rsidRDefault="006C15DA" w:rsidP="0080697E">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Work with parents or carers as key to supporting and enabling progress for young men, albeit not always as joint work.</w:t>
      </w:r>
    </w:p>
    <w:p w14:paraId="7339F93A"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121B1F4F" w14:textId="77777777" w:rsidR="006C15DA" w:rsidRPr="00EE05AA" w:rsidRDefault="006C15DA" w:rsidP="0080697E">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b/>
          <w:bCs/>
        </w:rPr>
      </w:pPr>
      <w:r w:rsidRPr="00EE05AA">
        <w:rPr>
          <w:rFonts w:asciiTheme="majorHAnsi" w:hAnsiTheme="majorHAnsi" w:cstheme="minorHAnsi"/>
        </w:rPr>
        <w:t>Very significant impact of trauma upon young men’s well-being on many levels requires practitioner awareness and understanding and services or interventions to be designed on this basis too</w:t>
      </w:r>
    </w:p>
    <w:p w14:paraId="4DB7384E" w14:textId="77777777" w:rsidR="00B37829" w:rsidRDefault="00B37829" w:rsidP="006C15DA">
      <w:pPr>
        <w:spacing w:line="360" w:lineRule="auto"/>
        <w:contextualSpacing/>
        <w:rPr>
          <w:rFonts w:asciiTheme="majorHAnsi" w:hAnsiTheme="majorHAnsi" w:cstheme="minorHAnsi"/>
          <w:b/>
          <w:bCs/>
        </w:rPr>
      </w:pPr>
    </w:p>
    <w:p w14:paraId="71B31B6C" w14:textId="77777777" w:rsidR="00B37829" w:rsidRDefault="00B37829" w:rsidP="006C15DA">
      <w:pPr>
        <w:spacing w:line="360" w:lineRule="auto"/>
        <w:contextualSpacing/>
        <w:rPr>
          <w:rFonts w:asciiTheme="majorHAnsi" w:hAnsiTheme="majorHAnsi" w:cstheme="minorHAnsi"/>
          <w:b/>
          <w:bCs/>
        </w:rPr>
      </w:pPr>
    </w:p>
    <w:p w14:paraId="6BF0E682" w14:textId="77777777" w:rsidR="00B37829" w:rsidRDefault="00B37829" w:rsidP="006C15DA">
      <w:pPr>
        <w:spacing w:line="360" w:lineRule="auto"/>
        <w:contextualSpacing/>
        <w:rPr>
          <w:rFonts w:asciiTheme="majorHAnsi" w:hAnsiTheme="majorHAnsi" w:cstheme="minorHAnsi"/>
          <w:b/>
          <w:bCs/>
        </w:rPr>
      </w:pPr>
    </w:p>
    <w:p w14:paraId="7A4727EA" w14:textId="77777777" w:rsidR="00B37829" w:rsidRDefault="00B37829" w:rsidP="006C15DA">
      <w:pPr>
        <w:spacing w:line="360" w:lineRule="auto"/>
        <w:contextualSpacing/>
        <w:rPr>
          <w:rFonts w:asciiTheme="majorHAnsi" w:hAnsiTheme="majorHAnsi" w:cstheme="minorHAnsi"/>
          <w:b/>
          <w:bCs/>
        </w:rPr>
      </w:pPr>
    </w:p>
    <w:p w14:paraId="15192DA1" w14:textId="77777777" w:rsidR="00B37829" w:rsidRDefault="00B37829" w:rsidP="006C15DA">
      <w:pPr>
        <w:spacing w:line="360" w:lineRule="auto"/>
        <w:contextualSpacing/>
        <w:rPr>
          <w:rFonts w:asciiTheme="majorHAnsi" w:hAnsiTheme="majorHAnsi" w:cstheme="minorHAnsi"/>
          <w:b/>
          <w:bCs/>
        </w:rPr>
      </w:pPr>
    </w:p>
    <w:p w14:paraId="2CA4C614" w14:textId="77777777" w:rsidR="00B37829" w:rsidRDefault="00B37829" w:rsidP="006C15DA">
      <w:pPr>
        <w:spacing w:line="360" w:lineRule="auto"/>
        <w:contextualSpacing/>
        <w:rPr>
          <w:rFonts w:asciiTheme="majorHAnsi" w:hAnsiTheme="majorHAnsi" w:cstheme="minorHAnsi"/>
          <w:b/>
          <w:bCs/>
        </w:rPr>
      </w:pPr>
    </w:p>
    <w:p w14:paraId="3D1579B9" w14:textId="33CFB2C6" w:rsidR="00B37829" w:rsidRDefault="00301C85" w:rsidP="0080697E">
      <w:pPr>
        <w:rPr>
          <w:rFonts w:asciiTheme="majorHAnsi" w:hAnsiTheme="majorHAnsi" w:cstheme="minorHAnsi"/>
          <w:b/>
          <w:bCs/>
        </w:rPr>
      </w:pPr>
      <w:r>
        <w:rPr>
          <w:rFonts w:asciiTheme="majorHAnsi" w:hAnsiTheme="majorHAnsi" w:cstheme="minorHAnsi"/>
          <w:b/>
          <w:bCs/>
        </w:rPr>
        <w:br w:type="page"/>
      </w:r>
    </w:p>
    <w:p w14:paraId="358CC948" w14:textId="224AAFBF" w:rsidR="006C15DA" w:rsidRPr="00E86D41" w:rsidRDefault="006C15DA" w:rsidP="00E86D41">
      <w:pPr>
        <w:pStyle w:val="ListParagraph"/>
        <w:numPr>
          <w:ilvl w:val="1"/>
          <w:numId w:val="41"/>
        </w:numPr>
        <w:rPr>
          <w:rFonts w:asciiTheme="majorHAnsi" w:hAnsiTheme="majorHAnsi" w:cstheme="minorHAnsi"/>
          <w:b/>
          <w:bCs/>
        </w:rPr>
      </w:pPr>
      <w:r w:rsidRPr="00E86D41">
        <w:rPr>
          <w:rFonts w:asciiTheme="majorHAnsi" w:hAnsiTheme="majorHAnsi" w:cstheme="minorHAnsi"/>
          <w:b/>
          <w:bCs/>
        </w:rPr>
        <w:lastRenderedPageBreak/>
        <w:t>Education and employment</w:t>
      </w:r>
    </w:p>
    <w:p w14:paraId="5EE39662" w14:textId="493F5843" w:rsidR="007124DA" w:rsidRDefault="007124DA" w:rsidP="007124DA">
      <w:pPr>
        <w:pStyle w:val="ListParagraph"/>
        <w:rPr>
          <w:rFonts w:asciiTheme="majorHAnsi" w:hAnsiTheme="majorHAnsi" w:cstheme="minorHAnsi"/>
          <w:b/>
          <w:bCs/>
        </w:rPr>
      </w:pPr>
    </w:p>
    <w:p w14:paraId="1E29E1BA" w14:textId="77777777" w:rsidR="007124DA" w:rsidRPr="007124DA" w:rsidRDefault="007124DA" w:rsidP="007124DA">
      <w:pPr>
        <w:pStyle w:val="ListParagraph"/>
        <w:rPr>
          <w:rFonts w:asciiTheme="majorHAnsi" w:hAnsiTheme="majorHAnsi" w:cstheme="minorHAnsi"/>
          <w:b/>
          <w:bCs/>
        </w:rPr>
      </w:pPr>
    </w:p>
    <w:p w14:paraId="75128FBE"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bookmarkStart w:id="6" w:name="_Hlk57475997"/>
      <w:r w:rsidRPr="00EE05AA">
        <w:rPr>
          <w:rFonts w:asciiTheme="majorHAnsi" w:hAnsiTheme="majorHAnsi" w:cstheme="minorHAnsi"/>
          <w:b/>
          <w:bCs/>
          <w:i/>
          <w:iCs/>
          <w:color w:val="002060"/>
        </w:rPr>
        <w:t>Key Issues</w:t>
      </w:r>
    </w:p>
    <w:bookmarkEnd w:id="6"/>
    <w:p w14:paraId="64215BE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School experiences</w:t>
      </w:r>
    </w:p>
    <w:p w14:paraId="6ECF1B0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Whilst young men reported less than positive experiences of educational institutions, it was not uncommon for the young men reflect on support and guidance received from individual adults at school/college, both from teaching staff and others in differing roles. What defined these relationships positively was the sustained regard and acceptance the young men felt from the adults.</w:t>
      </w:r>
    </w:p>
    <w:p w14:paraId="1A4C0C1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7279C66B"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Reductions in collaborative/complementary partnerships</w:t>
      </w:r>
    </w:p>
    <w:p w14:paraId="44BDE9D0"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Educational institutions would seem to have reduced opportunities and capacity to work in partnership with complementary services and projects, many of which were effective in providing “alternative” provision for young men who found it hard to engage in more formalised, “mainstream” provision.</w:t>
      </w:r>
    </w:p>
    <w:p w14:paraId="44BF9C9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05E81AE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Trajectories into training and employment</w:t>
      </w:r>
    </w:p>
    <w:p w14:paraId="345C46D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Routes to training and employment can be inconsistent and lack of the flexibility of such provision does not always acknowledge and respond to the reality of some young men’s complex and fractured everyday lives. This impacts on employment aspirations and trajectories, where often the pathway to offending and risk of exploitation, further disadvantages young men. </w:t>
      </w:r>
    </w:p>
    <w:p w14:paraId="5317624D" w14:textId="77777777" w:rsidR="006C15DA" w:rsidRPr="00EE05AA" w:rsidRDefault="006C15DA" w:rsidP="006C15DA">
      <w:pPr>
        <w:spacing w:line="360" w:lineRule="auto"/>
        <w:contextualSpacing/>
        <w:rPr>
          <w:rFonts w:asciiTheme="majorHAnsi" w:hAnsiTheme="majorHAnsi" w:cstheme="minorHAnsi"/>
        </w:rPr>
      </w:pPr>
    </w:p>
    <w:p w14:paraId="432311E5" w14:textId="56C35133" w:rsidR="006C15DA" w:rsidRPr="00B05269" w:rsidRDefault="00E86D41" w:rsidP="006C15DA">
      <w:pPr>
        <w:spacing w:line="360" w:lineRule="auto"/>
        <w:contextualSpacing/>
        <w:rPr>
          <w:rFonts w:asciiTheme="majorHAnsi" w:hAnsiTheme="majorHAnsi" w:cstheme="minorHAnsi"/>
          <w:i/>
          <w:iCs/>
        </w:rPr>
      </w:pPr>
      <w:r w:rsidRPr="00B05269">
        <w:rPr>
          <w:rFonts w:asciiTheme="majorHAnsi" w:hAnsiTheme="majorHAnsi" w:cstheme="minorHAnsi"/>
          <w:i/>
          <w:iCs/>
        </w:rPr>
        <w:t xml:space="preserve">5.4.1 </w:t>
      </w:r>
      <w:r w:rsidR="006C15DA" w:rsidRPr="00B05269">
        <w:rPr>
          <w:rFonts w:asciiTheme="majorHAnsi" w:hAnsiTheme="majorHAnsi" w:cstheme="minorHAnsi"/>
          <w:i/>
          <w:iCs/>
        </w:rPr>
        <w:t>Experiences of schools and colleges</w:t>
      </w:r>
    </w:p>
    <w:p w14:paraId="33724393"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Issues relating to education, training and employment whilst not extensively featured, were common across many of the practitioner interviews and those with young men. The generalised </w:t>
      </w:r>
      <w:r w:rsidRPr="00EE05AA">
        <w:rPr>
          <w:rFonts w:asciiTheme="majorHAnsi" w:hAnsiTheme="majorHAnsi" w:cstheme="minorHAnsi"/>
        </w:rPr>
        <w:lastRenderedPageBreak/>
        <w:t>experiences of schools and colleges reported by those young men interviewed, were largely less than positive:</w:t>
      </w:r>
    </w:p>
    <w:p w14:paraId="41973FE2" w14:textId="77777777" w:rsidR="006C15DA" w:rsidRPr="00EE05AA" w:rsidRDefault="006C15DA" w:rsidP="006C15DA">
      <w:pPr>
        <w:spacing w:line="360" w:lineRule="auto"/>
        <w:contextualSpacing/>
        <w:rPr>
          <w:rFonts w:asciiTheme="majorHAnsi" w:hAnsiTheme="majorHAnsi" w:cstheme="minorHAnsi"/>
        </w:rPr>
      </w:pPr>
    </w:p>
    <w:p w14:paraId="627AA701" w14:textId="1109F9AD"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I just couldn’t cope. I would skip most of my classes. I would be one of those kids who are along the corridors - angry, pissed off</w:t>
      </w:r>
      <w:r w:rsidR="00E257BB">
        <w:rPr>
          <w:rFonts w:asciiTheme="majorHAnsi" w:hAnsiTheme="majorHAnsi" w:cstheme="minorHAnsi"/>
          <w:i/>
          <w:iCs/>
        </w:rPr>
        <w:t>.</w:t>
      </w:r>
      <w:r w:rsidRPr="00EE05AA">
        <w:rPr>
          <w:rFonts w:asciiTheme="majorHAnsi" w:hAnsiTheme="majorHAnsi" w:cstheme="minorHAnsi"/>
          <w:i/>
          <w:iCs/>
        </w:rPr>
        <w:t xml:space="preserve"> </w:t>
      </w:r>
    </w:p>
    <w:p w14:paraId="1665AC67" w14:textId="77777777" w:rsidR="006C15DA" w:rsidRPr="00EE05AA" w:rsidRDefault="006C15DA" w:rsidP="006C15DA">
      <w:pPr>
        <w:spacing w:line="360" w:lineRule="auto"/>
        <w:ind w:left="5760" w:firstLine="720"/>
        <w:contextualSpacing/>
        <w:rPr>
          <w:rFonts w:asciiTheme="majorHAnsi" w:hAnsiTheme="majorHAnsi" w:cstheme="minorHAnsi"/>
        </w:rPr>
      </w:pPr>
    </w:p>
    <w:p w14:paraId="5593B97E" w14:textId="024045D9"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I went to [school] until early Year 9, or late Year 8, I can’t actually remember which, and got kicked out of there twice. And then went to [school], got kicked out of there, then went to [college name] College and then got kicked out of there</w:t>
      </w:r>
      <w:r w:rsidR="00E257BB">
        <w:rPr>
          <w:rFonts w:asciiTheme="majorHAnsi" w:hAnsiTheme="majorHAnsi" w:cstheme="minorHAnsi"/>
          <w:i/>
          <w:iCs/>
        </w:rPr>
        <w:t>.</w:t>
      </w:r>
      <w:r w:rsidRPr="00EE05AA">
        <w:rPr>
          <w:rFonts w:asciiTheme="majorHAnsi" w:hAnsiTheme="majorHAnsi" w:cstheme="minorHAnsi"/>
          <w:i/>
          <w:iCs/>
        </w:rPr>
        <w:t xml:space="preserve"> </w:t>
      </w:r>
    </w:p>
    <w:p w14:paraId="1F3FFAF4" w14:textId="77777777" w:rsidR="006C15DA" w:rsidRPr="00EE05AA" w:rsidRDefault="006C15DA" w:rsidP="006C15DA">
      <w:pPr>
        <w:spacing w:line="360" w:lineRule="auto"/>
        <w:contextualSpacing/>
        <w:rPr>
          <w:rFonts w:asciiTheme="majorHAnsi" w:hAnsiTheme="majorHAnsi" w:cstheme="minorHAnsi"/>
        </w:rPr>
      </w:pPr>
    </w:p>
    <w:p w14:paraId="748B36DB" w14:textId="65135C0C"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I’d always walk around with my head down, not talking to anyone, really quiet, but that’s just because I’m a very shy person. I didn’t want to talk to anyone unless they were my friends</w:t>
      </w:r>
      <w:r w:rsidR="00E257BB">
        <w:rPr>
          <w:rFonts w:asciiTheme="majorHAnsi" w:hAnsiTheme="majorHAnsi" w:cstheme="minorHAnsi"/>
          <w:i/>
          <w:iCs/>
        </w:rPr>
        <w:t>.</w:t>
      </w:r>
      <w:r w:rsidRPr="00EE05AA">
        <w:rPr>
          <w:rFonts w:asciiTheme="majorHAnsi" w:hAnsiTheme="majorHAnsi" w:cstheme="minorHAnsi"/>
          <w:i/>
          <w:iCs/>
        </w:rPr>
        <w:t xml:space="preserve"> </w:t>
      </w:r>
    </w:p>
    <w:p w14:paraId="1BC4760F" w14:textId="77777777" w:rsidR="006C15DA" w:rsidRPr="00EE05AA" w:rsidRDefault="006C15DA" w:rsidP="006C15DA">
      <w:pPr>
        <w:spacing w:line="360" w:lineRule="auto"/>
        <w:contextualSpacing/>
        <w:rPr>
          <w:rFonts w:asciiTheme="majorHAnsi" w:hAnsiTheme="majorHAnsi" w:cstheme="minorHAnsi"/>
        </w:rPr>
      </w:pPr>
    </w:p>
    <w:p w14:paraId="5AF1D2B9" w14:textId="41BE220F" w:rsidR="006C15D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Sometimes this frustration was voiced more specifically at schools seemingly not being in a position to meet young men’s </w:t>
      </w:r>
      <w:r w:rsidRPr="00301C85">
        <w:rPr>
          <w:rFonts w:asciiTheme="majorHAnsi" w:hAnsiTheme="majorHAnsi" w:cstheme="minorHAnsi"/>
        </w:rPr>
        <w:t xml:space="preserve">emotional learning needs, or not understanding the challenge and complexity of the young men’s lives (see also </w:t>
      </w:r>
      <w:r w:rsidRPr="00301C85">
        <w:rPr>
          <w:rFonts w:asciiTheme="majorHAnsi" w:hAnsiTheme="majorHAnsi" w:cstheme="minorHAnsi"/>
          <w:b/>
          <w:bCs/>
        </w:rPr>
        <w:t>Mental health and substance use</w:t>
      </w:r>
      <w:r w:rsidR="00301C85" w:rsidRPr="00301C85">
        <w:rPr>
          <w:rFonts w:asciiTheme="majorHAnsi" w:hAnsiTheme="majorHAnsi" w:cstheme="minorHAnsi"/>
          <w:b/>
          <w:bCs/>
        </w:rPr>
        <w:t>, Section 5.5</w:t>
      </w:r>
      <w:r w:rsidRPr="00301C85">
        <w:rPr>
          <w:rFonts w:asciiTheme="majorHAnsi" w:hAnsiTheme="majorHAnsi" w:cstheme="minorHAnsi"/>
        </w:rPr>
        <w:t>):</w:t>
      </w:r>
    </w:p>
    <w:p w14:paraId="72879A0C" w14:textId="77777777" w:rsidR="00301C85" w:rsidRPr="00EE05AA" w:rsidRDefault="00301C85" w:rsidP="006C15DA">
      <w:pPr>
        <w:spacing w:line="360" w:lineRule="auto"/>
        <w:contextualSpacing/>
        <w:rPr>
          <w:rFonts w:asciiTheme="majorHAnsi" w:hAnsiTheme="majorHAnsi" w:cstheme="minorHAnsi"/>
        </w:rPr>
      </w:pPr>
    </w:p>
    <w:p w14:paraId="0A2DE2AB" w14:textId="7D3A386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We've got feelings, we've got everything else as well; we're, in my opinion…, we're just not shown how to express it, it's not taught at all … you're not taught how to show your emotions</w:t>
      </w:r>
      <w:r w:rsidR="00E257BB">
        <w:rPr>
          <w:rFonts w:asciiTheme="majorHAnsi" w:hAnsiTheme="majorHAnsi" w:cstheme="minorHAnsi"/>
          <w:i/>
          <w:iCs/>
        </w:rPr>
        <w:t>.</w:t>
      </w:r>
      <w:r w:rsidRPr="00EE05AA">
        <w:rPr>
          <w:rFonts w:asciiTheme="majorHAnsi" w:hAnsiTheme="majorHAnsi" w:cstheme="minorHAnsi"/>
          <w:i/>
          <w:iCs/>
        </w:rPr>
        <w:t xml:space="preserve"> </w:t>
      </w:r>
    </w:p>
    <w:p w14:paraId="1D5D7D56" w14:textId="77777777" w:rsidR="006C15DA" w:rsidRPr="00EE05AA" w:rsidRDefault="006C15DA" w:rsidP="006C15DA">
      <w:pPr>
        <w:spacing w:line="360" w:lineRule="auto"/>
        <w:contextualSpacing/>
        <w:rPr>
          <w:rFonts w:asciiTheme="majorHAnsi" w:hAnsiTheme="majorHAnsi" w:cstheme="minorHAnsi"/>
        </w:rPr>
      </w:pPr>
    </w:p>
    <w:p w14:paraId="269DFD19" w14:textId="4EA645E3" w:rsidR="006C15DA" w:rsidRPr="00EE05AA" w:rsidRDefault="006C15DA" w:rsidP="006C15DA">
      <w:pPr>
        <w:spacing w:line="360" w:lineRule="auto"/>
        <w:ind w:firstLine="720"/>
        <w:contextualSpacing/>
        <w:rPr>
          <w:rFonts w:asciiTheme="majorHAnsi" w:hAnsiTheme="majorHAnsi" w:cstheme="minorHAnsi"/>
        </w:rPr>
      </w:pPr>
      <w:r w:rsidRPr="00EE05AA">
        <w:rPr>
          <w:rFonts w:asciiTheme="majorHAnsi" w:hAnsiTheme="majorHAnsi" w:cstheme="minorHAnsi"/>
          <w:i/>
          <w:iCs/>
        </w:rPr>
        <w:t>They need to understand that things are going to go on</w:t>
      </w:r>
      <w:r w:rsidR="00E257BB">
        <w:rPr>
          <w:rFonts w:asciiTheme="majorHAnsi" w:hAnsiTheme="majorHAnsi" w:cstheme="minorHAnsi"/>
          <w:i/>
          <w:iCs/>
        </w:rPr>
        <w:t>.</w:t>
      </w:r>
      <w:r w:rsidRPr="00EE05AA">
        <w:rPr>
          <w:rFonts w:asciiTheme="majorHAnsi" w:hAnsiTheme="majorHAnsi" w:cstheme="minorHAnsi"/>
          <w:i/>
          <w:iCs/>
        </w:rPr>
        <w:t xml:space="preserve"> </w:t>
      </w:r>
      <w:r w:rsidRPr="00EE05AA">
        <w:rPr>
          <w:rFonts w:asciiTheme="majorHAnsi" w:hAnsiTheme="majorHAnsi" w:cstheme="minorHAnsi"/>
        </w:rPr>
        <w:tab/>
      </w:r>
    </w:p>
    <w:p w14:paraId="16036C0B" w14:textId="77777777" w:rsidR="006C15DA" w:rsidRPr="00EE05AA" w:rsidRDefault="006C15DA" w:rsidP="006C15DA">
      <w:pPr>
        <w:spacing w:line="360" w:lineRule="auto"/>
        <w:contextualSpacing/>
        <w:rPr>
          <w:rFonts w:asciiTheme="majorHAnsi" w:hAnsiTheme="majorHAnsi" w:cstheme="minorHAnsi"/>
        </w:rPr>
      </w:pPr>
    </w:p>
    <w:p w14:paraId="1C54B22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More positively, specific relationships with individual teachers and other members of school and college staff were acknowledged by young men with warmth and appreciation:</w:t>
      </w:r>
    </w:p>
    <w:p w14:paraId="78440318" w14:textId="77777777" w:rsidR="006C15DA" w:rsidRPr="00EE05AA" w:rsidRDefault="006C15DA" w:rsidP="006C15DA">
      <w:pPr>
        <w:spacing w:line="360" w:lineRule="auto"/>
        <w:ind w:firstLine="720"/>
        <w:contextualSpacing/>
        <w:rPr>
          <w:rFonts w:asciiTheme="majorHAnsi" w:hAnsiTheme="majorHAnsi" w:cstheme="minorHAnsi"/>
        </w:rPr>
      </w:pPr>
    </w:p>
    <w:p w14:paraId="6437AA00" w14:textId="6D3A6CE6"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 xml:space="preserve">[He] kind of noticed me more, like spoke to me … I really liked him, I knew there was someone I could, you know, speak to, waffle about, be myself … I just felt a lot </w:t>
      </w:r>
      <w:proofErr w:type="gramStart"/>
      <w:r w:rsidRPr="00EE05AA">
        <w:rPr>
          <w:rFonts w:asciiTheme="majorHAnsi" w:hAnsiTheme="majorHAnsi" w:cstheme="minorHAnsi"/>
          <w:i/>
          <w:iCs/>
        </w:rPr>
        <w:t>more good</w:t>
      </w:r>
      <w:proofErr w:type="gramEnd"/>
      <w:r w:rsidRPr="00EE05AA">
        <w:rPr>
          <w:rFonts w:asciiTheme="majorHAnsi" w:hAnsiTheme="majorHAnsi" w:cstheme="minorHAnsi"/>
          <w:i/>
          <w:iCs/>
        </w:rPr>
        <w:t xml:space="preserve"> around him, and obviously I had my rugby coach who was like there to support me as well. So, yeah, and there </w:t>
      </w:r>
      <w:proofErr w:type="gramStart"/>
      <w:r w:rsidRPr="00EE05AA">
        <w:rPr>
          <w:rFonts w:asciiTheme="majorHAnsi" w:hAnsiTheme="majorHAnsi" w:cstheme="minorHAnsi"/>
          <w:i/>
          <w:iCs/>
        </w:rPr>
        <w:t>was</w:t>
      </w:r>
      <w:proofErr w:type="gramEnd"/>
      <w:r w:rsidRPr="00EE05AA">
        <w:rPr>
          <w:rFonts w:asciiTheme="majorHAnsi" w:hAnsiTheme="majorHAnsi" w:cstheme="minorHAnsi"/>
          <w:i/>
          <w:iCs/>
        </w:rPr>
        <w:t xml:space="preserve"> good and bad bits about school</w:t>
      </w:r>
      <w:r w:rsidR="00E257BB">
        <w:rPr>
          <w:rFonts w:asciiTheme="majorHAnsi" w:hAnsiTheme="majorHAnsi" w:cstheme="minorHAnsi"/>
          <w:i/>
          <w:iCs/>
        </w:rPr>
        <w:t>.</w:t>
      </w:r>
    </w:p>
    <w:p w14:paraId="4681AC9F" w14:textId="77777777" w:rsidR="006C15DA" w:rsidRPr="00EE05AA" w:rsidRDefault="006C15DA" w:rsidP="006C15DA">
      <w:pPr>
        <w:spacing w:line="360" w:lineRule="auto"/>
        <w:contextualSpacing/>
        <w:rPr>
          <w:rFonts w:asciiTheme="majorHAnsi" w:hAnsiTheme="majorHAnsi" w:cstheme="minorHAnsi"/>
        </w:rPr>
      </w:pPr>
    </w:p>
    <w:p w14:paraId="77C83BC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importance and value of schools and colleges being able to support young men’s individual needs through consistent relationships was also affirmed by a secondary school Head:</w:t>
      </w:r>
    </w:p>
    <w:p w14:paraId="57AB4B31" w14:textId="77777777" w:rsidR="006C15DA" w:rsidRPr="00EE05AA" w:rsidRDefault="006C15DA" w:rsidP="006C15DA">
      <w:pPr>
        <w:spacing w:line="360" w:lineRule="auto"/>
        <w:ind w:firstLine="720"/>
        <w:contextualSpacing/>
        <w:rPr>
          <w:rFonts w:asciiTheme="majorHAnsi" w:hAnsiTheme="majorHAnsi" w:cstheme="minorHAnsi"/>
        </w:rPr>
      </w:pPr>
    </w:p>
    <w:p w14:paraId="61706C4B" w14:textId="0DE7679B"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The trouble with a secondary school is it is so big, and they have so many different teachers and rooms, relationships with different members of staff, that actually sometimes I think for some young people they do become lost, because actually they don’t really know who is there for them. So, to create a team of people who actually do know them as individuals, a place in terms of a room, an area of the school where they can go to when they’re feeling cross, angry, upset, whatever. I think is really important for all kids, but especially those kids who perhaps don’t fit into the norm</w:t>
      </w:r>
      <w:r w:rsidR="00E257BB">
        <w:rPr>
          <w:rFonts w:asciiTheme="majorHAnsi" w:hAnsiTheme="majorHAnsi" w:cstheme="minorHAnsi"/>
          <w:i/>
          <w:iCs/>
        </w:rPr>
        <w:t>.</w:t>
      </w:r>
      <w:r w:rsidRPr="00EE05AA">
        <w:rPr>
          <w:rFonts w:asciiTheme="majorHAnsi" w:hAnsiTheme="majorHAnsi" w:cstheme="minorHAnsi"/>
        </w:rPr>
        <w:t xml:space="preserve"> </w:t>
      </w:r>
    </w:p>
    <w:p w14:paraId="30F75CC1" w14:textId="77777777" w:rsidR="006C15DA" w:rsidRPr="00EE05AA" w:rsidRDefault="006C15DA" w:rsidP="006C15DA">
      <w:pPr>
        <w:spacing w:line="360" w:lineRule="auto"/>
        <w:contextualSpacing/>
        <w:rPr>
          <w:rFonts w:asciiTheme="majorHAnsi" w:hAnsiTheme="majorHAnsi" w:cstheme="minorHAnsi"/>
        </w:rPr>
      </w:pPr>
    </w:p>
    <w:p w14:paraId="1CAE13F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And to emphasise this focus on consistency and continuity: </w:t>
      </w:r>
    </w:p>
    <w:p w14:paraId="5D41630B" w14:textId="77777777" w:rsidR="006C15DA" w:rsidRPr="00EE05AA" w:rsidRDefault="006C15DA" w:rsidP="006C15DA">
      <w:pPr>
        <w:spacing w:line="360" w:lineRule="auto"/>
        <w:contextualSpacing/>
        <w:rPr>
          <w:rFonts w:asciiTheme="majorHAnsi" w:hAnsiTheme="majorHAnsi" w:cstheme="minorHAnsi"/>
        </w:rPr>
      </w:pPr>
    </w:p>
    <w:p w14:paraId="30817530" w14:textId="19AF955B"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Where possible the tutor, the Head of Year and the Assistant Head of Year who’s a non-teacher, will move [with a year group] through the school</w:t>
      </w:r>
      <w:r w:rsidR="00E257BB">
        <w:rPr>
          <w:rFonts w:asciiTheme="majorHAnsi" w:hAnsiTheme="majorHAnsi" w:cstheme="minorHAnsi"/>
          <w:i/>
          <w:iCs/>
        </w:rPr>
        <w:t>.</w:t>
      </w:r>
    </w:p>
    <w:p w14:paraId="71798442" w14:textId="77777777" w:rsidR="006C15DA" w:rsidRPr="00EE05AA" w:rsidRDefault="006C15DA" w:rsidP="006C15DA">
      <w:pPr>
        <w:spacing w:line="360" w:lineRule="auto"/>
        <w:contextualSpacing/>
        <w:rPr>
          <w:rFonts w:asciiTheme="majorHAnsi" w:hAnsiTheme="majorHAnsi" w:cstheme="minorHAnsi"/>
        </w:rPr>
      </w:pPr>
    </w:p>
    <w:p w14:paraId="5DD3BF4D"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Head of the special education unit interviewed emphasised the relational basis of the work, particular when others’ expectations of young men may be low:</w:t>
      </w:r>
    </w:p>
    <w:p w14:paraId="1F5ED965" w14:textId="77777777" w:rsidR="006C15DA" w:rsidRPr="00EE05AA" w:rsidRDefault="006C15DA" w:rsidP="006C15DA">
      <w:pPr>
        <w:spacing w:line="360" w:lineRule="auto"/>
        <w:ind w:firstLine="720"/>
        <w:contextualSpacing/>
        <w:rPr>
          <w:rFonts w:asciiTheme="majorHAnsi" w:hAnsiTheme="majorHAnsi" w:cstheme="minorHAnsi"/>
        </w:rPr>
      </w:pPr>
    </w:p>
    <w:p w14:paraId="14C6CB2A" w14:textId="1A8D816F"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[She] said to me “whatever group you get him, he’s going to ruin it, he’ll just ruin it, he’s awful” and he just wasn’t like that; by getting to know him, by not having that </w:t>
      </w:r>
      <w:r w:rsidRPr="00EE05AA">
        <w:rPr>
          <w:rFonts w:asciiTheme="majorHAnsi" w:hAnsiTheme="majorHAnsi" w:cstheme="minorHAnsi"/>
          <w:i/>
          <w:iCs/>
        </w:rPr>
        <w:lastRenderedPageBreak/>
        <w:t>expectation of him… and allowing these young men actually to be, well to be their best selves</w:t>
      </w:r>
      <w:r w:rsidR="00E257BB">
        <w:rPr>
          <w:rFonts w:asciiTheme="majorHAnsi" w:hAnsiTheme="majorHAnsi" w:cstheme="minorHAnsi"/>
          <w:i/>
          <w:iCs/>
        </w:rPr>
        <w:t>.</w:t>
      </w:r>
    </w:p>
    <w:p w14:paraId="296CCB13" w14:textId="77777777" w:rsidR="006C15DA" w:rsidRPr="00EE05AA" w:rsidRDefault="006C15DA" w:rsidP="006C15DA">
      <w:pPr>
        <w:spacing w:line="360" w:lineRule="auto"/>
        <w:contextualSpacing/>
        <w:rPr>
          <w:rFonts w:asciiTheme="majorHAnsi" w:hAnsiTheme="majorHAnsi" w:cstheme="minorHAnsi"/>
        </w:rPr>
      </w:pPr>
    </w:p>
    <w:p w14:paraId="4DB74FF3" w14:textId="76187BBF"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In some cases, the relational aspect of education was also felt to be compounded by a lack of male role models within education, raised here as an issue potentially affecting aspiration and affirmative identification (see also </w:t>
      </w:r>
      <w:r w:rsidRPr="00EE05AA">
        <w:rPr>
          <w:rFonts w:asciiTheme="majorHAnsi" w:hAnsiTheme="majorHAnsi" w:cstheme="minorHAnsi"/>
          <w:b/>
          <w:bCs/>
        </w:rPr>
        <w:t xml:space="preserve">Masculinities and other </w:t>
      </w:r>
      <w:proofErr w:type="gramStart"/>
      <w:r w:rsidRPr="00EE05AA">
        <w:rPr>
          <w:rFonts w:asciiTheme="majorHAnsi" w:hAnsiTheme="majorHAnsi" w:cstheme="minorHAnsi"/>
          <w:b/>
          <w:bCs/>
        </w:rPr>
        <w:t>identities</w:t>
      </w:r>
      <w:r w:rsidR="00301C85">
        <w:rPr>
          <w:rFonts w:asciiTheme="majorHAnsi" w:hAnsiTheme="majorHAnsi" w:cstheme="minorHAnsi"/>
          <w:b/>
          <w:bCs/>
        </w:rPr>
        <w:t xml:space="preserve">, </w:t>
      </w:r>
      <w:r w:rsidRPr="00EE05AA">
        <w:rPr>
          <w:rFonts w:asciiTheme="majorHAnsi" w:hAnsiTheme="majorHAnsi" w:cstheme="minorHAnsi"/>
          <w:b/>
          <w:bCs/>
        </w:rPr>
        <w:t xml:space="preserve"> </w:t>
      </w:r>
      <w:r w:rsidR="00301C85">
        <w:rPr>
          <w:rFonts w:asciiTheme="majorHAnsi" w:hAnsiTheme="majorHAnsi" w:cstheme="minorHAnsi"/>
          <w:b/>
          <w:bCs/>
        </w:rPr>
        <w:t>S</w:t>
      </w:r>
      <w:r w:rsidRPr="00EE05AA">
        <w:rPr>
          <w:rFonts w:asciiTheme="majorHAnsi" w:hAnsiTheme="majorHAnsi" w:cstheme="minorHAnsi"/>
          <w:b/>
          <w:bCs/>
        </w:rPr>
        <w:t>ection</w:t>
      </w:r>
      <w:proofErr w:type="gramEnd"/>
      <w:r w:rsidRPr="00EE05AA">
        <w:rPr>
          <w:rFonts w:asciiTheme="majorHAnsi" w:hAnsiTheme="majorHAnsi" w:cstheme="minorHAnsi"/>
          <w:b/>
          <w:bCs/>
        </w:rPr>
        <w:t xml:space="preserve"> </w:t>
      </w:r>
      <w:r w:rsidR="00301C85">
        <w:rPr>
          <w:rFonts w:asciiTheme="majorHAnsi" w:hAnsiTheme="majorHAnsi" w:cstheme="minorHAnsi"/>
          <w:b/>
          <w:bCs/>
        </w:rPr>
        <w:t>5.2</w:t>
      </w:r>
      <w:r w:rsidRPr="00EE05AA">
        <w:rPr>
          <w:rFonts w:asciiTheme="majorHAnsi" w:hAnsiTheme="majorHAnsi" w:cstheme="minorHAnsi"/>
        </w:rPr>
        <w:t>).</w:t>
      </w:r>
    </w:p>
    <w:p w14:paraId="0C82F206" w14:textId="77777777" w:rsidR="006C15DA" w:rsidRPr="00EE05AA" w:rsidRDefault="006C15DA" w:rsidP="006C15DA">
      <w:pPr>
        <w:spacing w:line="360" w:lineRule="auto"/>
        <w:contextualSpacing/>
        <w:rPr>
          <w:rFonts w:asciiTheme="majorHAnsi" w:hAnsiTheme="majorHAnsi" w:cstheme="minorHAnsi"/>
        </w:rPr>
      </w:pPr>
    </w:p>
    <w:p w14:paraId="168B945E" w14:textId="24805A1E" w:rsidR="006C15DA" w:rsidRPr="00B05269" w:rsidRDefault="00E86D41" w:rsidP="006C15DA">
      <w:pPr>
        <w:spacing w:line="360" w:lineRule="auto"/>
        <w:contextualSpacing/>
        <w:rPr>
          <w:rFonts w:asciiTheme="majorHAnsi" w:hAnsiTheme="majorHAnsi" w:cstheme="minorHAnsi"/>
          <w:i/>
          <w:iCs/>
        </w:rPr>
      </w:pPr>
      <w:r w:rsidRPr="00B05269">
        <w:rPr>
          <w:rFonts w:asciiTheme="majorHAnsi" w:hAnsiTheme="majorHAnsi" w:cstheme="minorHAnsi"/>
          <w:i/>
          <w:iCs/>
        </w:rPr>
        <w:t xml:space="preserve">5.4.2 </w:t>
      </w:r>
      <w:r w:rsidR="006C15DA" w:rsidRPr="00B05269">
        <w:rPr>
          <w:rFonts w:asciiTheme="majorHAnsi" w:hAnsiTheme="majorHAnsi" w:cstheme="minorHAnsi"/>
          <w:i/>
          <w:iCs/>
        </w:rPr>
        <w:t>Collaborative and extended provision</w:t>
      </w:r>
    </w:p>
    <w:p w14:paraId="03C798D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Schools and colleges clearly have enjoyed opportunities to engage in collaborative provision with other, complementary services to support young men’s needs and enhance their own provision, but these opportunities appear to have been reduced in more recent years, as the secondary Head interviewed explained:</w:t>
      </w:r>
    </w:p>
    <w:p w14:paraId="1B403167" w14:textId="77777777" w:rsidR="006C15DA" w:rsidRPr="00EE05AA" w:rsidRDefault="006C15DA" w:rsidP="006C15DA">
      <w:pPr>
        <w:spacing w:line="360" w:lineRule="auto"/>
        <w:contextualSpacing/>
        <w:rPr>
          <w:rFonts w:asciiTheme="majorHAnsi" w:hAnsiTheme="majorHAnsi" w:cstheme="minorHAnsi"/>
        </w:rPr>
      </w:pPr>
    </w:p>
    <w:p w14:paraId="08B3EB1A" w14:textId="410D66EC"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What I sort of am frustrated by is that our ability to bespoke a kid’s provision at the school has been stymied by the lack of stuff that’s out there…. Over the last couple of years I’ve had no opportunity to really do that, a) because I haven’t got the financial capacity in some cases, albeit I’ve had, rather be in deficit than try and deny a kid that, but b) actually some of those things aren’t there anymore that you know; you haven’t got the opportunity to pick up the phone to [named practitioner] and say, “Look, [name], is there any chance, or do you know of anybody who’s running this, or can you help out here?” and that’s been a real shame</w:t>
      </w:r>
      <w:r w:rsidR="00E257BB">
        <w:rPr>
          <w:rFonts w:asciiTheme="majorHAnsi" w:hAnsiTheme="majorHAnsi" w:cstheme="minorHAnsi"/>
          <w:i/>
          <w:iCs/>
        </w:rPr>
        <w:t>.</w:t>
      </w:r>
    </w:p>
    <w:p w14:paraId="794EFE23" w14:textId="77777777" w:rsidR="006C15DA" w:rsidRPr="00EE05AA" w:rsidRDefault="006C15DA" w:rsidP="006C15DA">
      <w:pPr>
        <w:spacing w:line="360" w:lineRule="auto"/>
        <w:contextualSpacing/>
        <w:rPr>
          <w:rFonts w:asciiTheme="majorHAnsi" w:hAnsiTheme="majorHAnsi" w:cstheme="minorHAnsi"/>
        </w:rPr>
      </w:pPr>
    </w:p>
    <w:p w14:paraId="66787FA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Head of the special education unit has a similar experience in terms of a reduction of opportunities to extend provision to meet need:</w:t>
      </w:r>
    </w:p>
    <w:p w14:paraId="37C6C62C" w14:textId="77777777" w:rsidR="006C15DA" w:rsidRPr="00EE05AA" w:rsidRDefault="006C15DA" w:rsidP="006C15DA">
      <w:pPr>
        <w:spacing w:line="360" w:lineRule="auto"/>
        <w:ind w:firstLine="720"/>
        <w:contextualSpacing/>
        <w:rPr>
          <w:rFonts w:asciiTheme="majorHAnsi" w:hAnsiTheme="majorHAnsi" w:cstheme="minorHAnsi"/>
        </w:rPr>
      </w:pPr>
    </w:p>
    <w:p w14:paraId="5FAD53E8" w14:textId="28748ADE"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rPr>
        <w:t xml:space="preserve">We try and get them work experience and a college place if we can, although there’s fewer which has really been such a shame actually, because . . . those college places for </w:t>
      </w:r>
      <w:r w:rsidRPr="00EE05AA">
        <w:rPr>
          <w:rFonts w:asciiTheme="majorHAnsi" w:hAnsiTheme="majorHAnsi" w:cstheme="minorHAnsi"/>
          <w:i/>
          <w:iCs/>
        </w:rPr>
        <w:lastRenderedPageBreak/>
        <w:t>those practical things they used to really like doing, they’re just not available anymore so much</w:t>
      </w:r>
      <w:r w:rsidR="00E257BB">
        <w:rPr>
          <w:rFonts w:asciiTheme="majorHAnsi" w:hAnsiTheme="majorHAnsi" w:cstheme="minorHAnsi"/>
          <w:i/>
          <w:iCs/>
        </w:rPr>
        <w:t>.</w:t>
      </w:r>
    </w:p>
    <w:p w14:paraId="1778E7E4" w14:textId="77777777" w:rsidR="006C15DA" w:rsidRPr="00EE05AA" w:rsidRDefault="006C15DA" w:rsidP="006C15DA">
      <w:pPr>
        <w:spacing w:line="360" w:lineRule="auto"/>
        <w:contextualSpacing/>
        <w:rPr>
          <w:rFonts w:asciiTheme="majorHAnsi" w:hAnsiTheme="majorHAnsi" w:cstheme="minorHAnsi"/>
        </w:rPr>
      </w:pPr>
    </w:p>
    <w:p w14:paraId="1464CBE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Such comments made about provision whereby young men accessed college and other flexible, perhaps “alternative” provision during school time were felt to appeal particularly to young men for whom mainstream school provision was unable to meet their needs. Titles such as “extended” or “enhanced engagement” provision reflects developments under the expansion of services during the first decade of the new millennium, which have since been significantly diminished as result of reductions to public sector funding over more recent years. Those practitioners interviewed identified this partnership provision as a potential key to retaining student engagement within the education setting, in addition to boosting employability skills.</w:t>
      </w:r>
    </w:p>
    <w:p w14:paraId="79F0227A" w14:textId="77777777" w:rsidR="006C15DA" w:rsidRPr="00EE05AA" w:rsidRDefault="006C15DA" w:rsidP="006C15DA">
      <w:pPr>
        <w:spacing w:line="360" w:lineRule="auto"/>
        <w:contextualSpacing/>
        <w:rPr>
          <w:rFonts w:asciiTheme="majorHAnsi" w:hAnsiTheme="majorHAnsi" w:cstheme="minorHAnsi"/>
        </w:rPr>
      </w:pPr>
    </w:p>
    <w:p w14:paraId="0C67AB4B"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This ‘felt sense’ of a reduction of access to ‘joined-up’ and extended approaches and provision reflects a perceived lack of flexibility within mainstream education, combined with other pressures on services creates a ‘perfect storm’ within which young men who may be at risk of disengagement may become perhaps more side-lined and poorly advised and supported, ultimately leaving some vulnerable to risk and exploitation. </w:t>
      </w:r>
    </w:p>
    <w:p w14:paraId="0023113A" w14:textId="77777777" w:rsidR="006C15DA" w:rsidRPr="00EE05AA" w:rsidRDefault="006C15DA" w:rsidP="006C15DA">
      <w:pPr>
        <w:spacing w:line="360" w:lineRule="auto"/>
        <w:contextualSpacing/>
        <w:rPr>
          <w:rFonts w:asciiTheme="majorHAnsi" w:hAnsiTheme="majorHAnsi" w:cstheme="minorHAnsi"/>
        </w:rPr>
      </w:pPr>
    </w:p>
    <w:p w14:paraId="5C587B4A"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For those working within schools, performance related measures from Ofsted and approaches such as Progress 8, can be perceived as challenges in maintaining this engagement, but there are innovative approaches to resolving some core issues. For example, in one school, the year groups on each site have been amended to ensure that there are sixth formers, as role models, on the same campus as the younger years (Years 7 and 8); this also had the benefit of addressing some of the issues in Year 9 where they have now become the younger year group, rather than being the older ones providing role modelling to younger years. </w:t>
      </w:r>
    </w:p>
    <w:p w14:paraId="497EBFF1" w14:textId="77777777" w:rsidR="006C15DA" w:rsidRPr="00EE05AA" w:rsidRDefault="006C15DA" w:rsidP="006C15DA">
      <w:pPr>
        <w:spacing w:line="360" w:lineRule="auto"/>
        <w:contextualSpacing/>
        <w:rPr>
          <w:rFonts w:asciiTheme="majorHAnsi" w:hAnsiTheme="majorHAnsi" w:cstheme="minorHAnsi"/>
        </w:rPr>
      </w:pPr>
    </w:p>
    <w:p w14:paraId="1E9664A8"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lastRenderedPageBreak/>
        <w:t xml:space="preserve">What was striking too in the interviews with both practitioners and with young men, was the extent to which significantly different approaches between schools within the local area were reported. Some schools it appears are more likely to make referrals to local organisations than others, and some are thought to have a much deeper knowledge about their young men than others. There also seemed to be a specific challenge associated with the experiences of some young men when referred from their school to college-based Level 2 provision and the young men finding the course to be below this level of study and hence considered less valid in terms employability, skills and qualification. </w:t>
      </w:r>
    </w:p>
    <w:p w14:paraId="0AA04E49" w14:textId="77777777" w:rsidR="006C15DA" w:rsidRPr="00EE05AA" w:rsidRDefault="006C15DA" w:rsidP="006C15DA">
      <w:pPr>
        <w:spacing w:line="360" w:lineRule="auto"/>
        <w:contextualSpacing/>
        <w:rPr>
          <w:rFonts w:asciiTheme="majorHAnsi" w:hAnsiTheme="majorHAnsi" w:cstheme="minorHAnsi"/>
        </w:rPr>
      </w:pPr>
    </w:p>
    <w:p w14:paraId="42E80469" w14:textId="5D27B56C" w:rsidR="006C15DA" w:rsidRPr="00B05269" w:rsidRDefault="00E86D41" w:rsidP="006C15DA">
      <w:pPr>
        <w:spacing w:line="360" w:lineRule="auto"/>
        <w:contextualSpacing/>
        <w:rPr>
          <w:rFonts w:asciiTheme="majorHAnsi" w:hAnsiTheme="majorHAnsi" w:cstheme="minorHAnsi"/>
          <w:i/>
          <w:iCs/>
        </w:rPr>
      </w:pPr>
      <w:r w:rsidRPr="00B05269">
        <w:rPr>
          <w:rFonts w:asciiTheme="majorHAnsi" w:hAnsiTheme="majorHAnsi" w:cstheme="minorHAnsi"/>
          <w:i/>
          <w:iCs/>
        </w:rPr>
        <w:t xml:space="preserve">5.4.3 </w:t>
      </w:r>
      <w:r w:rsidR="006C15DA" w:rsidRPr="00B05269">
        <w:rPr>
          <w:rFonts w:asciiTheme="majorHAnsi" w:hAnsiTheme="majorHAnsi" w:cstheme="minorHAnsi"/>
          <w:i/>
          <w:iCs/>
        </w:rPr>
        <w:t>Moving to employment</w:t>
      </w:r>
    </w:p>
    <w:p w14:paraId="59FE0B55"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References to the relative lack of meaningful employment in the local area and to the relatively low expectations and aspirations local young men have </w:t>
      </w:r>
      <w:proofErr w:type="gramStart"/>
      <w:r w:rsidRPr="00EE05AA">
        <w:rPr>
          <w:rFonts w:asciiTheme="majorHAnsi" w:hAnsiTheme="majorHAnsi" w:cstheme="minorHAnsi"/>
        </w:rPr>
        <w:t>were</w:t>
      </w:r>
      <w:proofErr w:type="gramEnd"/>
      <w:r w:rsidRPr="00EE05AA">
        <w:rPr>
          <w:rFonts w:asciiTheme="majorHAnsi" w:hAnsiTheme="majorHAnsi" w:cstheme="minorHAnsi"/>
        </w:rPr>
        <w:t xml:space="preserve"> also made on several occasions:</w:t>
      </w:r>
    </w:p>
    <w:p w14:paraId="020597E5" w14:textId="77777777" w:rsidR="006C15DA" w:rsidRPr="00EE05AA" w:rsidRDefault="006C15DA" w:rsidP="006C15DA">
      <w:pPr>
        <w:spacing w:line="360" w:lineRule="auto"/>
        <w:contextualSpacing/>
        <w:rPr>
          <w:rFonts w:asciiTheme="majorHAnsi" w:hAnsiTheme="majorHAnsi" w:cstheme="minorHAnsi"/>
        </w:rPr>
      </w:pPr>
    </w:p>
    <w:p w14:paraId="2BA0E1C4" w14:textId="20F3F899" w:rsidR="006C15DA" w:rsidRPr="00EE05AA" w:rsidRDefault="006C15DA" w:rsidP="006C15DA">
      <w:pPr>
        <w:pStyle w:val="Caption1"/>
        <w:spacing w:after="0" w:line="360" w:lineRule="auto"/>
        <w:ind w:left="720"/>
        <w:contextualSpacing/>
        <w:jc w:val="left"/>
        <w:rPr>
          <w:rFonts w:asciiTheme="majorHAnsi" w:hAnsiTheme="majorHAnsi" w:cstheme="minorHAnsi"/>
          <w:color w:val="000000" w:themeColor="text1"/>
          <w:sz w:val="22"/>
          <w:szCs w:val="22"/>
        </w:rPr>
      </w:pPr>
      <w:r w:rsidRPr="00EE05AA">
        <w:rPr>
          <w:rFonts w:asciiTheme="majorHAnsi" w:hAnsiTheme="majorHAnsi" w:cstheme="minorHAnsi"/>
          <w:iCs/>
          <w:color w:val="000000"/>
          <w:sz w:val="22"/>
          <w:szCs w:val="22"/>
        </w:rPr>
        <w:t>[Practitioner]</w:t>
      </w:r>
      <w:r w:rsidRPr="00EE05AA">
        <w:rPr>
          <w:rFonts w:asciiTheme="majorHAnsi" w:hAnsiTheme="majorHAnsi" w:cstheme="minorHAnsi"/>
          <w:i w:val="0"/>
          <w:iCs/>
          <w:color w:val="000000"/>
          <w:sz w:val="22"/>
          <w:szCs w:val="22"/>
        </w:rPr>
        <w:t xml:space="preserve"> </w:t>
      </w:r>
      <w:r w:rsidRPr="00EE05AA">
        <w:rPr>
          <w:rFonts w:asciiTheme="majorHAnsi" w:hAnsiTheme="majorHAnsi" w:cstheme="minorHAnsi"/>
          <w:iCs/>
          <w:color w:val="000000"/>
          <w:sz w:val="22"/>
          <w:szCs w:val="22"/>
        </w:rPr>
        <w:t>Y</w:t>
      </w:r>
      <w:r w:rsidRPr="00EE05AA">
        <w:rPr>
          <w:rFonts w:asciiTheme="majorHAnsi" w:hAnsiTheme="majorHAnsi" w:cstheme="minorHAnsi"/>
          <w:color w:val="000000" w:themeColor="text1"/>
          <w:sz w:val="22"/>
          <w:szCs w:val="22"/>
        </w:rPr>
        <w:t>ou have people who are trying to find jobs but they don’t want to do a lot of the jobs that are available because they’re really low-paid and not very glamourous, well, not glamourous but, I don't know, don’t want to work in McDonalds for the rest of your life or whatever. I just don’t think they see, particularly a way out of things sometimes which demotivates them</w:t>
      </w:r>
      <w:r w:rsidR="00E257BB">
        <w:rPr>
          <w:rFonts w:asciiTheme="majorHAnsi" w:hAnsiTheme="majorHAnsi" w:cstheme="minorHAnsi"/>
          <w:color w:val="000000" w:themeColor="text1"/>
          <w:sz w:val="22"/>
          <w:szCs w:val="22"/>
        </w:rPr>
        <w:t>.</w:t>
      </w:r>
      <w:r w:rsidRPr="00EE05AA">
        <w:rPr>
          <w:rFonts w:asciiTheme="majorHAnsi" w:hAnsiTheme="majorHAnsi" w:cstheme="minorHAnsi"/>
          <w:color w:val="000000" w:themeColor="text1"/>
          <w:sz w:val="22"/>
          <w:szCs w:val="22"/>
        </w:rPr>
        <w:t xml:space="preserve"> </w:t>
      </w:r>
    </w:p>
    <w:p w14:paraId="5601F12C" w14:textId="77777777" w:rsidR="006C15DA" w:rsidRPr="00EE05AA" w:rsidRDefault="006C15DA" w:rsidP="006C15DA">
      <w:pPr>
        <w:spacing w:line="360" w:lineRule="auto"/>
        <w:contextualSpacing/>
        <w:rPr>
          <w:rFonts w:asciiTheme="majorHAnsi" w:hAnsiTheme="majorHAnsi" w:cstheme="minorHAnsi"/>
        </w:rPr>
      </w:pPr>
    </w:p>
    <w:p w14:paraId="238E1514"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This relationship between engagement in education and earning money, sometimes when young men are perhaps the only earner within a family, is especially key when exploring the impact that part time school timetabling has on those young men. Where the timetable is a few hours a week, some practitioners felt that this was counterproductive and more likely to lead to disengagement. Other organisations and services reported that they were “topping up” the timetable through sport or other activities, to support the young men, sometimes without any income to cover the costs of this work. </w:t>
      </w:r>
    </w:p>
    <w:p w14:paraId="1CCB6FEB" w14:textId="77777777" w:rsidR="006C15DA" w:rsidRPr="00EE05AA" w:rsidRDefault="006C15DA" w:rsidP="006C15DA">
      <w:pPr>
        <w:spacing w:line="360" w:lineRule="auto"/>
        <w:ind w:firstLine="720"/>
        <w:contextualSpacing/>
        <w:rPr>
          <w:rFonts w:asciiTheme="majorHAnsi" w:hAnsiTheme="majorHAnsi" w:cstheme="minorHAnsi"/>
        </w:rPr>
      </w:pPr>
    </w:p>
    <w:p w14:paraId="4391411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lastRenderedPageBreak/>
        <w:t xml:space="preserve">These experiences of both the young men themselves and the service leaders and practitioners who work with young men are congruent with the literature (e.g., Harland and McCready, 2014) which emphasises a “balanced approach” of formal and more flexible / informal approaches to engaging with and supporting young men through their education and training. The literature (e.g., Kenward and Hickey-Moody, 2011) also points towards </w:t>
      </w:r>
      <w:bookmarkStart w:id="7" w:name="_Hlk57475008"/>
      <w:r w:rsidRPr="00EE05AA">
        <w:rPr>
          <w:rFonts w:asciiTheme="majorHAnsi" w:hAnsiTheme="majorHAnsi" w:cstheme="minorHAnsi"/>
        </w:rPr>
        <w:t xml:space="preserve">the flexibility of such provision acknowledging and embracing the reality of some young men’s complex and fractured everyday lives. This reality clearly impacts on employment aspirations and trajectories, where often the pathway to offending and risk of exploitation further disadvantages young men. Practitioners and service managers are aware of this pathway, but funding limitations and a reduction of service agility would appear to restrict more creative educational provision.  </w:t>
      </w:r>
    </w:p>
    <w:bookmarkEnd w:id="7"/>
    <w:p w14:paraId="367A19F2" w14:textId="3668D2B5" w:rsidR="006C15DA" w:rsidRDefault="006C15DA" w:rsidP="006C15DA">
      <w:pPr>
        <w:spacing w:line="360" w:lineRule="auto"/>
        <w:contextualSpacing/>
        <w:rPr>
          <w:rFonts w:asciiTheme="majorHAnsi" w:hAnsiTheme="majorHAnsi" w:cstheme="minorHAnsi"/>
        </w:rPr>
      </w:pPr>
    </w:p>
    <w:p w14:paraId="6E682DF0" w14:textId="72D5412A" w:rsidR="007813F2" w:rsidRDefault="007813F2" w:rsidP="006C15DA">
      <w:pPr>
        <w:spacing w:line="360" w:lineRule="auto"/>
        <w:contextualSpacing/>
        <w:rPr>
          <w:rFonts w:asciiTheme="majorHAnsi" w:hAnsiTheme="majorHAnsi" w:cstheme="minorHAnsi"/>
        </w:rPr>
      </w:pPr>
    </w:p>
    <w:p w14:paraId="7A31D9C5" w14:textId="3E02CC7C" w:rsidR="00301C85" w:rsidRDefault="00301C85" w:rsidP="006C15DA">
      <w:pPr>
        <w:spacing w:line="360" w:lineRule="auto"/>
        <w:contextualSpacing/>
        <w:rPr>
          <w:rFonts w:asciiTheme="majorHAnsi" w:hAnsiTheme="majorHAnsi" w:cstheme="minorHAnsi"/>
        </w:rPr>
      </w:pPr>
    </w:p>
    <w:p w14:paraId="0C6B89D7" w14:textId="77777777" w:rsidR="00301C85" w:rsidRPr="00EE05AA" w:rsidRDefault="00301C85" w:rsidP="006C15DA">
      <w:pPr>
        <w:spacing w:line="360" w:lineRule="auto"/>
        <w:contextualSpacing/>
        <w:rPr>
          <w:rFonts w:asciiTheme="majorHAnsi" w:hAnsiTheme="majorHAnsi" w:cstheme="minorHAnsi"/>
        </w:rPr>
      </w:pPr>
    </w:p>
    <w:p w14:paraId="05421A8E"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Implications for practice</w:t>
      </w:r>
    </w:p>
    <w:p w14:paraId="5401718E" w14:textId="77777777" w:rsidR="006C15DA" w:rsidRPr="00EE05AA" w:rsidRDefault="006C15DA" w:rsidP="0080697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Opportunities for student-centred mentoring and personalised support/guidance to be facilitated in schools and colleges</w:t>
      </w:r>
    </w:p>
    <w:p w14:paraId="566E48B9"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5FE8CFE0" w14:textId="77777777" w:rsidR="006C15DA" w:rsidRPr="00EE05AA" w:rsidRDefault="006C15DA" w:rsidP="0080697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 xml:space="preserve">Collaborative “alternative” provision pathways to be developed in partnership with community/third sector providers </w:t>
      </w:r>
    </w:p>
    <w:p w14:paraId="017BA915"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001242E7" w14:textId="77777777" w:rsidR="006C15DA" w:rsidRPr="00EE05AA" w:rsidRDefault="006C15DA" w:rsidP="0080697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 xml:space="preserve">Meaningful training / work opportunities to be offered through college / employee partnerships to complement school / college curriculum   </w:t>
      </w:r>
    </w:p>
    <w:p w14:paraId="579D5B34" w14:textId="77777777" w:rsidR="006C15DA" w:rsidRPr="00EE05AA" w:rsidRDefault="006C15DA" w:rsidP="006C15DA">
      <w:pPr>
        <w:spacing w:line="360" w:lineRule="auto"/>
        <w:contextualSpacing/>
        <w:rPr>
          <w:rFonts w:asciiTheme="majorHAnsi" w:hAnsiTheme="majorHAnsi" w:cstheme="minorHAnsi"/>
        </w:rPr>
      </w:pPr>
    </w:p>
    <w:p w14:paraId="4AC0C393" w14:textId="77777777" w:rsidR="006C15DA" w:rsidRPr="00EE05AA" w:rsidRDefault="006C15DA" w:rsidP="006C15DA">
      <w:pPr>
        <w:spacing w:after="160" w:line="259" w:lineRule="auto"/>
        <w:rPr>
          <w:rFonts w:asciiTheme="majorHAnsi" w:hAnsiTheme="majorHAnsi" w:cstheme="minorHAnsi"/>
          <w:b/>
        </w:rPr>
      </w:pPr>
      <w:r w:rsidRPr="00EE05AA">
        <w:rPr>
          <w:rFonts w:asciiTheme="majorHAnsi" w:hAnsiTheme="majorHAnsi" w:cstheme="minorHAnsi"/>
          <w:b/>
        </w:rPr>
        <w:br w:type="page"/>
      </w:r>
    </w:p>
    <w:p w14:paraId="601BBE62" w14:textId="50355590" w:rsidR="006C15DA" w:rsidRDefault="00E86D41" w:rsidP="006C15DA">
      <w:pPr>
        <w:spacing w:line="360" w:lineRule="auto"/>
        <w:contextualSpacing/>
        <w:rPr>
          <w:rFonts w:asciiTheme="majorHAnsi" w:hAnsiTheme="majorHAnsi" w:cstheme="minorHAnsi"/>
          <w:b/>
        </w:rPr>
      </w:pPr>
      <w:r>
        <w:rPr>
          <w:rFonts w:asciiTheme="majorHAnsi" w:hAnsiTheme="majorHAnsi" w:cstheme="minorHAnsi"/>
          <w:b/>
        </w:rPr>
        <w:lastRenderedPageBreak/>
        <w:t>5</w:t>
      </w:r>
      <w:r w:rsidR="000414B2">
        <w:rPr>
          <w:rFonts w:asciiTheme="majorHAnsi" w:hAnsiTheme="majorHAnsi" w:cstheme="minorHAnsi"/>
          <w:b/>
        </w:rPr>
        <w:t>.5</w:t>
      </w:r>
      <w:r>
        <w:rPr>
          <w:rFonts w:asciiTheme="majorHAnsi" w:hAnsiTheme="majorHAnsi" w:cstheme="minorHAnsi"/>
          <w:b/>
        </w:rPr>
        <w:t xml:space="preserve"> </w:t>
      </w:r>
      <w:r w:rsidR="006C15DA" w:rsidRPr="00EE05AA">
        <w:rPr>
          <w:rFonts w:asciiTheme="majorHAnsi" w:hAnsiTheme="majorHAnsi" w:cstheme="minorHAnsi"/>
          <w:b/>
        </w:rPr>
        <w:t xml:space="preserve">Mental health and substance use </w:t>
      </w:r>
    </w:p>
    <w:p w14:paraId="5EE47E83" w14:textId="77777777" w:rsidR="00E86D41" w:rsidRPr="00EE05AA" w:rsidRDefault="00E86D41" w:rsidP="006C15DA">
      <w:pPr>
        <w:spacing w:line="360" w:lineRule="auto"/>
        <w:contextualSpacing/>
        <w:rPr>
          <w:rFonts w:asciiTheme="majorHAnsi" w:hAnsiTheme="majorHAnsi" w:cstheme="minorHAnsi"/>
          <w:b/>
        </w:rPr>
      </w:pPr>
    </w:p>
    <w:p w14:paraId="2363A998"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Key Issues</w:t>
      </w:r>
    </w:p>
    <w:p w14:paraId="416DE697"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Diversity of mental distress</w:t>
      </w:r>
    </w:p>
    <w:p w14:paraId="3033F570"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Young men experience a variety of mental health issues, including anxiety, stress, depression, feelings of meaningless, and suicidality. Poor mental health is associated with bullying, school exams, childhood trauma, national and global events, and substance use. </w:t>
      </w:r>
    </w:p>
    <w:p w14:paraId="545BA79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5B387CBB"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Substance use </w:t>
      </w:r>
    </w:p>
    <w:p w14:paraId="2115F2F8"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Cannabis, MDMA, Xanax, and Spice are addictive drugs used by young men. Use is attributed to young men’s need to escape difficult realities, and to assuage mental distress. </w:t>
      </w:r>
    </w:p>
    <w:p w14:paraId="6216D02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203D8ED7"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Understanding emotionality </w:t>
      </w:r>
    </w:p>
    <w:p w14:paraId="749D99EE"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r w:rsidRPr="00EE05AA">
        <w:rPr>
          <w:rFonts w:asciiTheme="majorHAnsi" w:hAnsiTheme="majorHAnsi" w:cstheme="minorHAnsi"/>
          <w:iCs/>
        </w:rPr>
        <w:t xml:space="preserve">Young men and practitioners alike believe that key to improving young men’s mental health is helping them to understand their emotionality, and to make links between how they are feeling and their traumatic pasts and presents. </w:t>
      </w:r>
    </w:p>
    <w:p w14:paraId="5D2738C5"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Cs/>
        </w:rPr>
      </w:pPr>
    </w:p>
    <w:p w14:paraId="44B9BA67"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 xml:space="preserve">Limitations of current mental health provision </w:t>
      </w:r>
    </w:p>
    <w:p w14:paraId="2430DD48"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Practitioners are critical of mental health provision for young men. Their concerns include those related to accessibility, waiting times, quick-fix approaches, restrictive eligibility criteria, and the problematic transition from child to adult services. </w:t>
      </w:r>
    </w:p>
    <w:p w14:paraId="01A5E129"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p>
    <w:p w14:paraId="53BB98BE" w14:textId="77777777" w:rsidR="006C15DA" w:rsidRPr="00EE05AA" w:rsidRDefault="006C15DA" w:rsidP="006C15DA">
      <w:pPr>
        <w:spacing w:line="360" w:lineRule="auto"/>
        <w:contextualSpacing/>
        <w:rPr>
          <w:rFonts w:asciiTheme="majorHAnsi" w:hAnsiTheme="majorHAnsi" w:cstheme="minorHAnsi"/>
          <w:i/>
          <w:iCs/>
        </w:rPr>
      </w:pPr>
      <w:r w:rsidRPr="00EE05AA">
        <w:rPr>
          <w:rFonts w:asciiTheme="majorHAnsi" w:hAnsiTheme="majorHAnsi" w:cstheme="minorHAnsi"/>
        </w:rPr>
        <w:tab/>
      </w:r>
    </w:p>
    <w:p w14:paraId="40A5A002" w14:textId="24503783" w:rsidR="006C15D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Many young men participants articulated their struggles with mental distress, which were often related to their use of illicit drugs. Practitioners identified trauma as an antecedent to distress,</w:t>
      </w:r>
      <w:r w:rsidR="00D12387">
        <w:rPr>
          <w:rFonts w:asciiTheme="majorHAnsi" w:hAnsiTheme="majorHAnsi" w:cstheme="minorHAnsi"/>
        </w:rPr>
        <w:t xml:space="preserve"> </w:t>
      </w:r>
      <w:r w:rsidRPr="00EE05AA">
        <w:rPr>
          <w:rFonts w:asciiTheme="majorHAnsi" w:hAnsiTheme="majorHAnsi" w:cstheme="minorHAnsi"/>
        </w:rPr>
        <w:t xml:space="preserve">and described how helping young men to understand their emotionality was key to improving their mental health and wellbeing. Substance use was framed by many participants as both </w:t>
      </w:r>
      <w:r w:rsidRPr="00EE05AA">
        <w:rPr>
          <w:rFonts w:asciiTheme="majorHAnsi" w:hAnsiTheme="majorHAnsi" w:cstheme="minorHAnsi"/>
        </w:rPr>
        <w:lastRenderedPageBreak/>
        <w:t>cause and consequence of poor mental health, and involvement in drugs supply was of particular concern (</w:t>
      </w:r>
      <w:r w:rsidRPr="00301C85">
        <w:rPr>
          <w:rFonts w:asciiTheme="majorHAnsi" w:hAnsiTheme="majorHAnsi" w:cstheme="minorHAnsi"/>
        </w:rPr>
        <w:t xml:space="preserve">see </w:t>
      </w:r>
      <w:r w:rsidRPr="00301C85">
        <w:rPr>
          <w:rFonts w:asciiTheme="majorHAnsi" w:hAnsiTheme="majorHAnsi" w:cstheme="minorHAnsi"/>
          <w:b/>
          <w:bCs/>
        </w:rPr>
        <w:t>Offending, criminalisation, and exploitation</w:t>
      </w:r>
      <w:r w:rsidR="00301C85" w:rsidRPr="00301C85">
        <w:rPr>
          <w:rFonts w:asciiTheme="majorHAnsi" w:hAnsiTheme="majorHAnsi" w:cstheme="minorHAnsi"/>
          <w:b/>
          <w:bCs/>
        </w:rPr>
        <w:t>, Section 5.6</w:t>
      </w:r>
      <w:r w:rsidRPr="00301C85">
        <w:rPr>
          <w:rFonts w:asciiTheme="majorHAnsi" w:hAnsiTheme="majorHAnsi" w:cstheme="minorHAnsi"/>
        </w:rPr>
        <w:t>). Both</w:t>
      </w:r>
      <w:r w:rsidRPr="00EE05AA">
        <w:rPr>
          <w:rFonts w:asciiTheme="majorHAnsi" w:hAnsiTheme="majorHAnsi" w:cstheme="minorHAnsi"/>
        </w:rPr>
        <w:t xml:space="preserve"> young men and practitioner described effective interventions for improving mental health, and practitioners identified a number of limitations with mental health support provision. </w:t>
      </w:r>
    </w:p>
    <w:p w14:paraId="49061BA6" w14:textId="77777777" w:rsidR="00301C85" w:rsidRPr="00EE05AA" w:rsidRDefault="00301C85" w:rsidP="006C15DA">
      <w:pPr>
        <w:spacing w:line="360" w:lineRule="auto"/>
        <w:contextualSpacing/>
        <w:rPr>
          <w:rFonts w:asciiTheme="majorHAnsi" w:hAnsiTheme="majorHAnsi" w:cstheme="minorHAnsi"/>
        </w:rPr>
      </w:pPr>
    </w:p>
    <w:p w14:paraId="2CF843CB" w14:textId="65C98CED" w:rsidR="006C15DA" w:rsidRPr="00B05269" w:rsidRDefault="00D12387" w:rsidP="006C15DA">
      <w:pPr>
        <w:spacing w:line="360" w:lineRule="auto"/>
        <w:contextualSpacing/>
        <w:rPr>
          <w:rFonts w:asciiTheme="majorHAnsi" w:hAnsiTheme="majorHAnsi" w:cstheme="minorHAnsi"/>
          <w:i/>
          <w:iCs/>
        </w:rPr>
      </w:pPr>
      <w:r w:rsidRPr="00B05269">
        <w:rPr>
          <w:rFonts w:asciiTheme="majorHAnsi" w:hAnsiTheme="majorHAnsi" w:cstheme="minorHAnsi"/>
          <w:i/>
          <w:iCs/>
        </w:rPr>
        <w:t xml:space="preserve">5.5.1 </w:t>
      </w:r>
      <w:r w:rsidR="006C15DA" w:rsidRPr="00B05269">
        <w:rPr>
          <w:rFonts w:asciiTheme="majorHAnsi" w:hAnsiTheme="majorHAnsi" w:cstheme="minorHAnsi"/>
          <w:i/>
          <w:iCs/>
        </w:rPr>
        <w:t xml:space="preserve">Diversity of mental distress </w:t>
      </w:r>
    </w:p>
    <w:p w14:paraId="4B4D9F2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All but one of the young men interviewed described experiencing some form of mental distress, including depression, anxiety, stress, and suicidality, which was at times comorbid with substance addiction:</w:t>
      </w:r>
    </w:p>
    <w:p w14:paraId="7BDEB3C3" w14:textId="77777777" w:rsidR="006C15DA" w:rsidRPr="00EE05AA" w:rsidRDefault="006C15DA" w:rsidP="006C15DA">
      <w:pPr>
        <w:spacing w:line="360" w:lineRule="auto"/>
        <w:contextualSpacing/>
        <w:rPr>
          <w:rFonts w:asciiTheme="majorHAnsi" w:hAnsiTheme="majorHAnsi" w:cstheme="minorHAnsi"/>
        </w:rPr>
      </w:pPr>
    </w:p>
    <w:p w14:paraId="29A34CEE" w14:textId="448E3D71"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I’ve suffered from depression from a young, young age, with constant bullying from school and stuff like that, and I suffered with depression for a long time with that, and it was very, very hard to get over with</w:t>
      </w:r>
      <w:r w:rsidR="00E257BB">
        <w:rPr>
          <w:rFonts w:asciiTheme="majorHAnsi" w:hAnsiTheme="majorHAnsi" w:cstheme="minorHAnsi"/>
          <w:i/>
        </w:rPr>
        <w:t>.</w:t>
      </w:r>
    </w:p>
    <w:p w14:paraId="78CB217F" w14:textId="77777777" w:rsidR="006C15DA" w:rsidRPr="00EE05AA" w:rsidRDefault="006C15DA" w:rsidP="006C15DA">
      <w:pPr>
        <w:spacing w:line="360" w:lineRule="auto"/>
        <w:ind w:left="720"/>
        <w:contextualSpacing/>
        <w:rPr>
          <w:rFonts w:asciiTheme="majorHAnsi" w:hAnsiTheme="majorHAnsi" w:cstheme="minorHAnsi"/>
          <w:i/>
        </w:rPr>
      </w:pPr>
    </w:p>
    <w:p w14:paraId="23D0F994" w14:textId="785234E2"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got to that point I was with my girlfriend and it was almost getting to the point where I wanted to end it with her because my, how depressed I was about what was going on in the world and everything like that, it really started to get on top of me</w:t>
      </w:r>
      <w:r w:rsidR="00E257BB">
        <w:rPr>
          <w:rFonts w:asciiTheme="majorHAnsi" w:hAnsiTheme="majorHAnsi" w:cstheme="minorHAnsi"/>
          <w:i/>
        </w:rPr>
        <w:t>.</w:t>
      </w:r>
    </w:p>
    <w:p w14:paraId="230360BC" w14:textId="77777777" w:rsidR="006C15DA" w:rsidRPr="00EE05AA" w:rsidRDefault="006C15DA" w:rsidP="006C15DA">
      <w:pPr>
        <w:spacing w:line="360" w:lineRule="auto"/>
        <w:ind w:left="720"/>
        <w:contextualSpacing/>
        <w:rPr>
          <w:rFonts w:asciiTheme="majorHAnsi" w:hAnsiTheme="majorHAnsi" w:cstheme="minorHAnsi"/>
          <w:i/>
        </w:rPr>
      </w:pPr>
    </w:p>
    <w:p w14:paraId="53A2C817" w14:textId="26A455E0"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did used to be a frequent drug user as well because of my depression</w:t>
      </w:r>
      <w:r w:rsidR="00E257BB">
        <w:rPr>
          <w:rFonts w:asciiTheme="majorHAnsi" w:hAnsiTheme="majorHAnsi" w:cstheme="minorHAnsi"/>
          <w:i/>
        </w:rPr>
        <w:t>.</w:t>
      </w:r>
    </w:p>
    <w:p w14:paraId="26E2F240" w14:textId="77777777" w:rsidR="006C15DA" w:rsidRPr="00EE05AA" w:rsidRDefault="006C15DA" w:rsidP="006C15DA">
      <w:pPr>
        <w:spacing w:line="360" w:lineRule="auto"/>
        <w:contextualSpacing/>
        <w:rPr>
          <w:rFonts w:asciiTheme="majorHAnsi" w:hAnsiTheme="majorHAnsi" w:cstheme="minorHAnsi"/>
          <w:i/>
        </w:rPr>
      </w:pPr>
    </w:p>
    <w:p w14:paraId="6B743732" w14:textId="0BA831F8"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was quite addicted to drugs when I was 16, like I was popping pills and doing MDMA all through my GCSEs</w:t>
      </w:r>
      <w:r w:rsidR="00E257BB">
        <w:rPr>
          <w:rFonts w:asciiTheme="majorHAnsi" w:hAnsiTheme="majorHAnsi" w:cstheme="minorHAnsi"/>
          <w:i/>
        </w:rPr>
        <w:t>.</w:t>
      </w:r>
    </w:p>
    <w:p w14:paraId="647670F9" w14:textId="77777777" w:rsidR="006C15DA" w:rsidRPr="00EE05AA" w:rsidRDefault="006C15DA" w:rsidP="006C15DA">
      <w:pPr>
        <w:spacing w:line="360" w:lineRule="auto"/>
        <w:ind w:left="720"/>
        <w:contextualSpacing/>
        <w:rPr>
          <w:rFonts w:asciiTheme="majorHAnsi" w:hAnsiTheme="majorHAnsi" w:cstheme="minorHAnsi"/>
          <w:i/>
        </w:rPr>
      </w:pPr>
    </w:p>
    <w:p w14:paraId="2ED8EB6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Apart from the consequence of substance use, participants also attributed young men’s mental distress to experiences at school, including bullying and exam stress; traumatic experiences from their pasts; challenging global events; and feelings of meaningless and lack of hope for the future. </w:t>
      </w:r>
    </w:p>
    <w:p w14:paraId="52CAC9CB" w14:textId="77777777" w:rsidR="006C15DA" w:rsidRPr="00EE05AA" w:rsidRDefault="006C15DA" w:rsidP="006C15DA">
      <w:pPr>
        <w:spacing w:line="360" w:lineRule="auto"/>
        <w:ind w:firstLine="720"/>
        <w:contextualSpacing/>
        <w:rPr>
          <w:rFonts w:asciiTheme="majorHAnsi" w:hAnsiTheme="majorHAnsi" w:cstheme="minorHAnsi"/>
        </w:rPr>
      </w:pPr>
    </w:p>
    <w:p w14:paraId="48AC5D9E" w14:textId="7AE56D11"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Cs/>
        </w:rPr>
        <w:t>[Young man]</w:t>
      </w:r>
      <w:r w:rsidRPr="00EE05AA">
        <w:rPr>
          <w:rFonts w:asciiTheme="majorHAnsi" w:hAnsiTheme="majorHAnsi" w:cstheme="minorHAnsi"/>
          <w:i/>
        </w:rPr>
        <w:t xml:space="preserve"> I was pretty, pretty low, felt you know</w:t>
      </w:r>
      <w:r w:rsidRPr="00EE05AA">
        <w:rPr>
          <w:rFonts w:asciiTheme="majorHAnsi" w:hAnsiTheme="majorHAnsi" w:cstheme="minorHAnsi"/>
          <w:b/>
          <w:i/>
        </w:rPr>
        <w:t xml:space="preserve">, </w:t>
      </w:r>
      <w:r w:rsidRPr="00EE05AA">
        <w:rPr>
          <w:rFonts w:asciiTheme="majorHAnsi" w:hAnsiTheme="majorHAnsi" w:cstheme="minorHAnsi"/>
          <w:i/>
        </w:rPr>
        <w:t>felt like my life was pretty meaningless and there wasn’t…and it was very much just you know, going to work, go home from work you know, watch TV, start again the next day and there was no and you know . . .  there just wasn’t any actual meaning or substance in my life</w:t>
      </w:r>
      <w:r w:rsidR="00E257BB">
        <w:rPr>
          <w:rFonts w:asciiTheme="majorHAnsi" w:hAnsiTheme="majorHAnsi" w:cstheme="minorHAnsi"/>
          <w:i/>
        </w:rPr>
        <w:t>.</w:t>
      </w:r>
    </w:p>
    <w:p w14:paraId="17904D51" w14:textId="77777777" w:rsidR="006C15DA" w:rsidRPr="00EE05AA" w:rsidRDefault="006C15DA" w:rsidP="006C15DA">
      <w:pPr>
        <w:spacing w:line="360" w:lineRule="auto"/>
        <w:ind w:left="720"/>
        <w:contextualSpacing/>
        <w:rPr>
          <w:rFonts w:asciiTheme="majorHAnsi" w:hAnsiTheme="majorHAnsi" w:cstheme="minorHAnsi"/>
          <w:i/>
        </w:rPr>
      </w:pPr>
    </w:p>
    <w:p w14:paraId="15F2EAE1" w14:textId="60A91125"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Cs/>
        </w:rPr>
        <w:t>[Practitioner]</w:t>
      </w:r>
      <w:r w:rsidRPr="00EE05AA">
        <w:rPr>
          <w:rFonts w:asciiTheme="majorHAnsi" w:hAnsiTheme="majorHAnsi" w:cstheme="minorHAnsi"/>
          <w:i/>
        </w:rPr>
        <w:t xml:space="preserve"> A lot of the work that they’re getting, you’ve got your zero-hour contracts, might be, you know, low skill factory work, that kind of thing, because they don’t feel that they can, they have access to anything else, which then naturally has a massive impact on their confidence, self-esteem</w:t>
      </w:r>
      <w:r w:rsidR="00E257BB">
        <w:rPr>
          <w:rFonts w:asciiTheme="majorHAnsi" w:hAnsiTheme="majorHAnsi" w:cstheme="minorHAnsi"/>
          <w:i/>
        </w:rPr>
        <w:t>.</w:t>
      </w:r>
      <w:r w:rsidRPr="00EE05AA">
        <w:rPr>
          <w:rFonts w:asciiTheme="majorHAnsi" w:hAnsiTheme="majorHAnsi" w:cstheme="minorHAnsi"/>
          <w:i/>
        </w:rPr>
        <w:t xml:space="preserve"> </w:t>
      </w:r>
    </w:p>
    <w:p w14:paraId="23297409" w14:textId="77777777" w:rsidR="006C15DA" w:rsidRPr="00EE05AA" w:rsidRDefault="006C15DA" w:rsidP="006C15DA">
      <w:pPr>
        <w:spacing w:line="360" w:lineRule="auto"/>
        <w:ind w:left="720"/>
        <w:contextualSpacing/>
        <w:rPr>
          <w:rFonts w:asciiTheme="majorHAnsi" w:hAnsiTheme="majorHAnsi" w:cstheme="minorHAnsi"/>
          <w:i/>
        </w:rPr>
      </w:pPr>
    </w:p>
    <w:p w14:paraId="08553CE3" w14:textId="77777777" w:rsidR="006C15DA" w:rsidRPr="00EE05AA" w:rsidRDefault="006C15DA" w:rsidP="006C15DA">
      <w:pPr>
        <w:spacing w:line="360" w:lineRule="auto"/>
        <w:ind w:left="720"/>
        <w:contextualSpacing/>
        <w:rPr>
          <w:rFonts w:asciiTheme="majorHAnsi" w:hAnsiTheme="majorHAnsi" w:cstheme="minorHAnsi"/>
          <w:i/>
          <w:color w:val="262626"/>
        </w:rPr>
      </w:pPr>
      <w:r w:rsidRPr="00EE05AA">
        <w:rPr>
          <w:rFonts w:asciiTheme="majorHAnsi" w:hAnsiTheme="majorHAnsi" w:cstheme="minorHAnsi"/>
          <w:iCs/>
        </w:rPr>
        <w:t>[Practitioner]</w:t>
      </w:r>
      <w:r w:rsidRPr="00EE05AA">
        <w:rPr>
          <w:rFonts w:asciiTheme="majorHAnsi" w:hAnsiTheme="majorHAnsi" w:cstheme="minorHAnsi"/>
          <w:i/>
        </w:rPr>
        <w:t xml:space="preserve"> </w:t>
      </w:r>
      <w:r w:rsidRPr="00EE05AA">
        <w:rPr>
          <w:rFonts w:asciiTheme="majorHAnsi" w:hAnsiTheme="majorHAnsi" w:cstheme="minorHAnsi"/>
          <w:i/>
          <w:color w:val="262626"/>
        </w:rPr>
        <w:t>There's a sense of hopelessness and futility generally. I think that there are some, you know, there's just, these young men are not going to own a house . . .  you know, the Extinction Rebellion, they're worried about the climate and the state of the planet; the Brexit thing looming…</w:t>
      </w:r>
    </w:p>
    <w:p w14:paraId="490D8C1C" w14:textId="77777777" w:rsidR="006C15DA" w:rsidRPr="00EE05AA" w:rsidRDefault="006C15DA" w:rsidP="006C15DA">
      <w:pPr>
        <w:spacing w:line="360" w:lineRule="auto"/>
        <w:ind w:left="720"/>
        <w:contextualSpacing/>
        <w:rPr>
          <w:rFonts w:asciiTheme="majorHAnsi" w:hAnsiTheme="majorHAnsi" w:cstheme="minorHAnsi"/>
          <w:i/>
          <w:color w:val="262626"/>
        </w:rPr>
      </w:pPr>
    </w:p>
    <w:p w14:paraId="27C4D821"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One young man’s experiences in the criminal justice system had a profound, negative impact on his mental health:  </w:t>
      </w:r>
    </w:p>
    <w:p w14:paraId="45A4282E" w14:textId="77777777" w:rsidR="006C15DA" w:rsidRPr="00EE05AA" w:rsidRDefault="006C15DA" w:rsidP="006C15DA">
      <w:pPr>
        <w:spacing w:line="360" w:lineRule="auto"/>
        <w:ind w:firstLine="720"/>
        <w:contextualSpacing/>
        <w:rPr>
          <w:rFonts w:asciiTheme="majorHAnsi" w:hAnsiTheme="majorHAnsi" w:cstheme="minorHAnsi"/>
        </w:rPr>
      </w:pPr>
    </w:p>
    <w:p w14:paraId="45A63D69" w14:textId="38F90468"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Actually, you know, it’s a fucking traumatic experience going through the criminal justice system for the first time . . . like it was a fucking awful experience and that initially scarred me. I literally came out the cell like wanting to, I genuinely thought about jumping in front of a train . . . luckily, I sort of managed to talk myself out of it but fucking hell, it destroyed my self-worth</w:t>
      </w:r>
      <w:r w:rsidR="00E257BB">
        <w:rPr>
          <w:rFonts w:asciiTheme="majorHAnsi" w:hAnsiTheme="majorHAnsi" w:cstheme="minorHAnsi"/>
          <w:i/>
        </w:rPr>
        <w:t>.</w:t>
      </w:r>
    </w:p>
    <w:p w14:paraId="158EB0AD" w14:textId="2CCFB2A9" w:rsidR="006C15DA" w:rsidRDefault="006C15DA" w:rsidP="006C15DA">
      <w:pPr>
        <w:spacing w:line="360" w:lineRule="auto"/>
        <w:contextualSpacing/>
        <w:rPr>
          <w:rFonts w:asciiTheme="majorHAnsi" w:hAnsiTheme="majorHAnsi" w:cstheme="minorHAnsi"/>
          <w:i/>
        </w:rPr>
      </w:pPr>
    </w:p>
    <w:p w14:paraId="3705D42A" w14:textId="725827BC" w:rsidR="00301C85" w:rsidRDefault="00301C85" w:rsidP="006C15DA">
      <w:pPr>
        <w:spacing w:line="360" w:lineRule="auto"/>
        <w:contextualSpacing/>
        <w:rPr>
          <w:rFonts w:asciiTheme="majorHAnsi" w:hAnsiTheme="majorHAnsi" w:cstheme="minorHAnsi"/>
          <w:i/>
        </w:rPr>
      </w:pPr>
    </w:p>
    <w:p w14:paraId="3AF93D6D" w14:textId="77777777" w:rsidR="00301C85" w:rsidRPr="00EE05AA" w:rsidRDefault="00301C85" w:rsidP="006C15DA">
      <w:pPr>
        <w:spacing w:line="360" w:lineRule="auto"/>
        <w:contextualSpacing/>
        <w:rPr>
          <w:rFonts w:asciiTheme="majorHAnsi" w:hAnsiTheme="majorHAnsi" w:cstheme="minorHAnsi"/>
          <w:i/>
        </w:rPr>
      </w:pPr>
    </w:p>
    <w:p w14:paraId="1E1C93EC" w14:textId="1F90B122" w:rsidR="006C15DA" w:rsidRPr="00B05269" w:rsidRDefault="00D12387" w:rsidP="006C15DA">
      <w:pPr>
        <w:spacing w:line="360" w:lineRule="auto"/>
        <w:contextualSpacing/>
        <w:rPr>
          <w:rFonts w:asciiTheme="majorHAnsi" w:hAnsiTheme="majorHAnsi" w:cstheme="minorHAnsi"/>
          <w:i/>
          <w:iCs/>
        </w:rPr>
      </w:pPr>
      <w:r w:rsidRPr="00B05269">
        <w:rPr>
          <w:rFonts w:asciiTheme="majorHAnsi" w:hAnsiTheme="majorHAnsi" w:cstheme="minorHAnsi"/>
          <w:i/>
          <w:iCs/>
        </w:rPr>
        <w:lastRenderedPageBreak/>
        <w:t xml:space="preserve">5.5.2 </w:t>
      </w:r>
      <w:r w:rsidR="006C15DA" w:rsidRPr="00B05269">
        <w:rPr>
          <w:rFonts w:asciiTheme="majorHAnsi" w:hAnsiTheme="majorHAnsi" w:cstheme="minorHAnsi"/>
          <w:i/>
          <w:iCs/>
        </w:rPr>
        <w:t>Substance use</w:t>
      </w:r>
    </w:p>
    <w:p w14:paraId="49638B9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There was a variety of addictive substances used by young men, according to the participants. The most commonly identified was cannabis, and use of MDMA, spice (synthetic cannabinoid), and Xanax (benzodiazepine) was also reported. Substance use was explained by some young men as a means of escaping reality: </w:t>
      </w:r>
    </w:p>
    <w:p w14:paraId="0AEFFFCC" w14:textId="77777777" w:rsidR="006C15DA" w:rsidRPr="00EE05AA" w:rsidRDefault="006C15DA" w:rsidP="006C15DA">
      <w:pPr>
        <w:spacing w:line="360" w:lineRule="auto"/>
        <w:contextualSpacing/>
        <w:rPr>
          <w:rFonts w:asciiTheme="majorHAnsi" w:hAnsiTheme="majorHAnsi" w:cstheme="minorHAnsi"/>
        </w:rPr>
      </w:pPr>
    </w:p>
    <w:p w14:paraId="3434EEF4" w14:textId="52A072D9"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was a heavy prescription user as well because I obviously didn’t want to be here at some points, and I was just looking for the easiest and quickest options out, and it never really was helping me do anything, it was just making me more and more angry</w:t>
      </w:r>
      <w:r w:rsidR="00E257BB">
        <w:rPr>
          <w:rFonts w:asciiTheme="majorHAnsi" w:hAnsiTheme="majorHAnsi" w:cstheme="minorHAnsi"/>
          <w:i/>
        </w:rPr>
        <w:t>.</w:t>
      </w:r>
    </w:p>
    <w:p w14:paraId="6DBFE92B"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ab/>
      </w:r>
    </w:p>
    <w:p w14:paraId="7661115A" w14:textId="6E5C9055"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 xml:space="preserve">I’ve smoked quite a lot of weed and I’ve been stuck in that trap …  that’s been a big part of my life for a long time, really, drugs and stuff like that have kind of been my escape. And I don’t want to do it any more, quite frankly, </w:t>
      </w:r>
      <w:proofErr w:type="gramStart"/>
      <w:r w:rsidRPr="00EE05AA">
        <w:rPr>
          <w:rFonts w:asciiTheme="majorHAnsi" w:hAnsiTheme="majorHAnsi" w:cstheme="minorHAnsi"/>
          <w:i/>
        </w:rPr>
        <w:t>it’s</w:t>
      </w:r>
      <w:proofErr w:type="gramEnd"/>
      <w:r w:rsidRPr="00EE05AA">
        <w:rPr>
          <w:rFonts w:asciiTheme="majorHAnsi" w:hAnsiTheme="majorHAnsi" w:cstheme="minorHAnsi"/>
          <w:i/>
        </w:rPr>
        <w:t xml:space="preserve"> shit, I hate it, I just do it for medicinal reasons, I guess ... yeah, something to escape to</w:t>
      </w:r>
      <w:r w:rsidR="00E257BB">
        <w:rPr>
          <w:rFonts w:asciiTheme="majorHAnsi" w:hAnsiTheme="majorHAnsi" w:cstheme="minorHAnsi"/>
          <w:i/>
        </w:rPr>
        <w:t>.</w:t>
      </w:r>
    </w:p>
    <w:p w14:paraId="04E397EB" w14:textId="77777777" w:rsidR="006C15DA" w:rsidRPr="00EE05AA" w:rsidRDefault="006C15DA" w:rsidP="006C15DA">
      <w:pPr>
        <w:spacing w:line="360" w:lineRule="auto"/>
        <w:contextualSpacing/>
        <w:rPr>
          <w:rFonts w:asciiTheme="majorHAnsi" w:hAnsiTheme="majorHAnsi" w:cstheme="minorHAnsi"/>
        </w:rPr>
      </w:pPr>
    </w:p>
    <w:p w14:paraId="2A47CD57"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Practitioners also believed that drugs offered some young men temporarily relief from the mental distress associated with trauma from their pasts: </w:t>
      </w:r>
    </w:p>
    <w:p w14:paraId="1F9D5A93" w14:textId="77777777" w:rsidR="006C15DA" w:rsidRPr="00EE05AA" w:rsidRDefault="006C15DA" w:rsidP="006C15DA">
      <w:pPr>
        <w:spacing w:line="360" w:lineRule="auto"/>
        <w:ind w:firstLine="720"/>
        <w:contextualSpacing/>
        <w:rPr>
          <w:rFonts w:asciiTheme="majorHAnsi" w:hAnsiTheme="majorHAnsi" w:cstheme="minorHAnsi"/>
        </w:rPr>
      </w:pPr>
    </w:p>
    <w:p w14:paraId="72A87651" w14:textId="14067648"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All of the cases that I’ve worked with have had significant issues with cannabis use and they say that they do that to keep things like sort of numbed or, you know, to the back of their brain. And I, yeah, kind of feel like there’s possibly, whether it’s like post-traumatic stress or just sort of, you know, depression or anxiety, you know, those sorts of feelings around, you know, that because of what’s happened to them, the abuse that’s happened</w:t>
      </w:r>
      <w:r w:rsidR="00E257BB">
        <w:rPr>
          <w:rFonts w:asciiTheme="majorHAnsi" w:hAnsiTheme="majorHAnsi" w:cstheme="minorHAnsi"/>
          <w:i/>
        </w:rPr>
        <w:t>.</w:t>
      </w:r>
    </w:p>
    <w:p w14:paraId="43CFF51D" w14:textId="77777777" w:rsidR="006C15DA" w:rsidRPr="00EE05AA" w:rsidRDefault="006C15DA" w:rsidP="006C15DA">
      <w:pPr>
        <w:spacing w:line="360" w:lineRule="auto"/>
        <w:contextualSpacing/>
        <w:rPr>
          <w:rFonts w:asciiTheme="majorHAnsi" w:hAnsiTheme="majorHAnsi" w:cstheme="minorHAnsi"/>
        </w:rPr>
      </w:pPr>
    </w:p>
    <w:p w14:paraId="1BFB44C3" w14:textId="04D65869" w:rsidR="006C15DA" w:rsidRPr="00B05269" w:rsidRDefault="00D12387" w:rsidP="006C15DA">
      <w:pPr>
        <w:spacing w:line="360" w:lineRule="auto"/>
        <w:contextualSpacing/>
        <w:rPr>
          <w:rFonts w:asciiTheme="majorHAnsi" w:hAnsiTheme="majorHAnsi" w:cstheme="minorHAnsi"/>
          <w:i/>
          <w:iCs/>
        </w:rPr>
      </w:pPr>
      <w:r w:rsidRPr="00B05269">
        <w:rPr>
          <w:rFonts w:asciiTheme="majorHAnsi" w:hAnsiTheme="majorHAnsi" w:cstheme="minorHAnsi"/>
          <w:i/>
          <w:iCs/>
        </w:rPr>
        <w:t xml:space="preserve">5.5.3 </w:t>
      </w:r>
      <w:r w:rsidR="006C15DA" w:rsidRPr="00B05269">
        <w:rPr>
          <w:rFonts w:asciiTheme="majorHAnsi" w:hAnsiTheme="majorHAnsi" w:cstheme="minorHAnsi"/>
          <w:i/>
          <w:iCs/>
        </w:rPr>
        <w:t xml:space="preserve">Understanding emotionality </w:t>
      </w:r>
    </w:p>
    <w:p w14:paraId="11899D8C" w14:textId="346E7070"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A number of young men described how they had been helped by practitioners to understand their feelings constitutive of mental distress (e.g., anger, depression etc.) in terms of the trauma </w:t>
      </w:r>
      <w:r w:rsidRPr="00EE05AA">
        <w:rPr>
          <w:rFonts w:asciiTheme="majorHAnsi" w:hAnsiTheme="majorHAnsi" w:cstheme="minorHAnsi"/>
        </w:rPr>
        <w:lastRenderedPageBreak/>
        <w:t>they had experienced. They identified this trauma-informed approach as effective</w:t>
      </w:r>
      <w:r w:rsidR="007354A7">
        <w:rPr>
          <w:rStyle w:val="FootnoteReference"/>
          <w:rFonts w:asciiTheme="majorHAnsi" w:hAnsiTheme="majorHAnsi" w:cstheme="minorHAnsi"/>
        </w:rPr>
        <w:footnoteReference w:id="7"/>
      </w:r>
      <w:r w:rsidRPr="00EE05AA">
        <w:rPr>
          <w:rFonts w:asciiTheme="majorHAnsi" w:hAnsiTheme="majorHAnsi" w:cstheme="minorHAnsi"/>
        </w:rPr>
        <w:t xml:space="preserve">, especially given that, as explained elsewhere in the interviews, emotional expression was inhibited in their daily lives (see </w:t>
      </w:r>
      <w:r w:rsidRPr="00301C85">
        <w:rPr>
          <w:rFonts w:asciiTheme="majorHAnsi" w:hAnsiTheme="majorHAnsi" w:cstheme="minorHAnsi"/>
          <w:b/>
          <w:bCs/>
        </w:rPr>
        <w:t>Masculinities and other identities</w:t>
      </w:r>
      <w:r w:rsidR="00301C85" w:rsidRPr="00301C85">
        <w:rPr>
          <w:rFonts w:asciiTheme="majorHAnsi" w:hAnsiTheme="majorHAnsi" w:cstheme="minorHAnsi"/>
          <w:b/>
          <w:bCs/>
        </w:rPr>
        <w:t>, Section 5.2</w:t>
      </w:r>
      <w:r w:rsidRPr="00301C85">
        <w:rPr>
          <w:rFonts w:asciiTheme="majorHAnsi" w:hAnsiTheme="majorHAnsi" w:cstheme="minorHAnsi"/>
        </w:rPr>
        <w:t>). Being</w:t>
      </w:r>
      <w:r w:rsidRPr="00EE05AA">
        <w:rPr>
          <w:rFonts w:asciiTheme="majorHAnsi" w:hAnsiTheme="majorHAnsi" w:cstheme="minorHAnsi"/>
        </w:rPr>
        <w:t xml:space="preserve"> taught to </w:t>
      </w:r>
      <w:r w:rsidR="00301C85">
        <w:rPr>
          <w:rFonts w:asciiTheme="majorHAnsi" w:hAnsiTheme="majorHAnsi" w:cstheme="minorHAnsi"/>
        </w:rPr>
        <w:t>r</w:t>
      </w:r>
      <w:r w:rsidR="00E257BB">
        <w:rPr>
          <w:rFonts w:asciiTheme="majorHAnsi" w:hAnsiTheme="majorHAnsi" w:cstheme="minorHAnsi"/>
        </w:rPr>
        <w:pgNum/>
      </w:r>
      <w:r w:rsidR="00E257BB">
        <w:rPr>
          <w:rFonts w:asciiTheme="majorHAnsi" w:hAnsiTheme="majorHAnsi" w:cstheme="minorHAnsi"/>
        </w:rPr>
        <w:t>ecognize</w:t>
      </w:r>
      <w:r w:rsidRPr="00EE05AA">
        <w:rPr>
          <w:rFonts w:asciiTheme="majorHAnsi" w:hAnsiTheme="majorHAnsi" w:cstheme="minorHAnsi"/>
        </w:rPr>
        <w:t xml:space="preserve"> different emotions and understand these in the context of their traumatic experiences helped the young men to regulate their emotionality, and consequent behaviours: </w:t>
      </w:r>
    </w:p>
    <w:p w14:paraId="676DB9E1" w14:textId="77777777" w:rsidR="006C15DA" w:rsidRPr="00EE05AA" w:rsidRDefault="006C15DA" w:rsidP="006C15DA">
      <w:pPr>
        <w:spacing w:line="360" w:lineRule="auto"/>
        <w:contextualSpacing/>
        <w:rPr>
          <w:rFonts w:asciiTheme="majorHAnsi" w:hAnsiTheme="majorHAnsi" w:cstheme="minorHAnsi"/>
        </w:rPr>
      </w:pPr>
    </w:p>
    <w:p w14:paraId="7780EB84" w14:textId="3EAD6E2A"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didn</w:t>
      </w:r>
      <w:r w:rsidR="00E257BB">
        <w:rPr>
          <w:rFonts w:asciiTheme="majorHAnsi" w:hAnsiTheme="majorHAnsi" w:cstheme="minorHAnsi"/>
          <w:i/>
        </w:rPr>
        <w:t>’</w:t>
      </w:r>
      <w:r w:rsidRPr="00EE05AA">
        <w:rPr>
          <w:rFonts w:asciiTheme="majorHAnsi" w:hAnsiTheme="majorHAnsi" w:cstheme="minorHAnsi"/>
          <w:i/>
        </w:rPr>
        <w:t>t realise how much stuff, nearly every, every messed-up thing about me, comes from my childhood traumas and being able to talk through those childhood traumas and work out exactly why I</w:t>
      </w:r>
      <w:r w:rsidR="00E257BB">
        <w:rPr>
          <w:rFonts w:asciiTheme="majorHAnsi" w:hAnsiTheme="majorHAnsi" w:cstheme="minorHAnsi"/>
          <w:i/>
        </w:rPr>
        <w:t>’</w:t>
      </w:r>
      <w:r w:rsidRPr="00EE05AA">
        <w:rPr>
          <w:rFonts w:asciiTheme="majorHAnsi" w:hAnsiTheme="majorHAnsi" w:cstheme="minorHAnsi"/>
          <w:i/>
        </w:rPr>
        <w:t>m feeling that way, how I</w:t>
      </w:r>
      <w:r w:rsidR="00E257BB">
        <w:rPr>
          <w:rFonts w:asciiTheme="majorHAnsi" w:hAnsiTheme="majorHAnsi" w:cstheme="minorHAnsi"/>
          <w:i/>
        </w:rPr>
        <w:t>’</w:t>
      </w:r>
      <w:r w:rsidRPr="00EE05AA">
        <w:rPr>
          <w:rFonts w:asciiTheme="majorHAnsi" w:hAnsiTheme="majorHAnsi" w:cstheme="minorHAnsi"/>
          <w:i/>
        </w:rPr>
        <w:t>m feeling that way, is, it</w:t>
      </w:r>
      <w:r w:rsidR="00E257BB">
        <w:rPr>
          <w:rFonts w:asciiTheme="majorHAnsi" w:hAnsiTheme="majorHAnsi" w:cstheme="minorHAnsi"/>
          <w:i/>
        </w:rPr>
        <w:t>’</w:t>
      </w:r>
      <w:r w:rsidRPr="00EE05AA">
        <w:rPr>
          <w:rFonts w:asciiTheme="majorHAnsi" w:hAnsiTheme="majorHAnsi" w:cstheme="minorHAnsi"/>
          <w:i/>
        </w:rPr>
        <w:t>s amazing how much weight gets lifted off your shoulders</w:t>
      </w:r>
      <w:r w:rsidR="00E257BB">
        <w:rPr>
          <w:rFonts w:asciiTheme="majorHAnsi" w:hAnsiTheme="majorHAnsi" w:cstheme="minorHAnsi"/>
          <w:i/>
        </w:rPr>
        <w:t>.</w:t>
      </w:r>
      <w:r w:rsidRPr="00EE05AA">
        <w:rPr>
          <w:rFonts w:asciiTheme="majorHAnsi" w:hAnsiTheme="majorHAnsi" w:cstheme="minorHAnsi"/>
          <w:i/>
        </w:rPr>
        <w:t xml:space="preserve"> </w:t>
      </w:r>
    </w:p>
    <w:p w14:paraId="27D80DAE" w14:textId="77777777" w:rsidR="006C15DA" w:rsidRPr="00EE05AA" w:rsidRDefault="006C15DA" w:rsidP="006C15DA">
      <w:pPr>
        <w:spacing w:line="360" w:lineRule="auto"/>
        <w:contextualSpacing/>
        <w:rPr>
          <w:rFonts w:asciiTheme="majorHAnsi" w:hAnsiTheme="majorHAnsi" w:cstheme="minorHAnsi"/>
          <w:i/>
        </w:rPr>
      </w:pPr>
    </w:p>
    <w:p w14:paraId="2691A740" w14:textId="5C7ABD7C"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used to like proper, we call it ‘hulk days’ ... six or seven times a week, so pretty much every day. But it’s slowed down a lot and I’m kind of, she also talked about, like it’s all in my head and, well, yeah, I’ve kind of learnt to control it a little bit and I don’t get angry as much, I’m not stressed half as much, I think</w:t>
      </w:r>
      <w:r w:rsidR="00E257BB">
        <w:rPr>
          <w:rFonts w:asciiTheme="majorHAnsi" w:hAnsiTheme="majorHAnsi" w:cstheme="minorHAnsi"/>
          <w:i/>
        </w:rPr>
        <w:t>.</w:t>
      </w:r>
      <w:r w:rsidRPr="00EE05AA">
        <w:rPr>
          <w:rFonts w:asciiTheme="majorHAnsi" w:hAnsiTheme="majorHAnsi" w:cstheme="minorHAnsi"/>
          <w:i/>
        </w:rPr>
        <w:t xml:space="preserve"> </w:t>
      </w:r>
    </w:p>
    <w:p w14:paraId="3CCA1053" w14:textId="77777777" w:rsidR="006C15DA" w:rsidRPr="00EE05AA" w:rsidRDefault="006C15DA" w:rsidP="006C15DA">
      <w:pPr>
        <w:spacing w:line="360" w:lineRule="auto"/>
        <w:ind w:left="720"/>
        <w:contextualSpacing/>
        <w:rPr>
          <w:rFonts w:asciiTheme="majorHAnsi" w:hAnsiTheme="majorHAnsi" w:cstheme="minorHAnsi"/>
          <w:i/>
        </w:rPr>
      </w:pPr>
    </w:p>
    <w:p w14:paraId="2EE12455" w14:textId="6179E4DD"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 absolutely changed my life, not necessarily from a perspective where it steered me away from like a life of crime . . . it just installed a whole new understanding of emotional intelligence and holding myself to account</w:t>
      </w:r>
      <w:r w:rsidR="00E257BB">
        <w:rPr>
          <w:rFonts w:asciiTheme="majorHAnsi" w:hAnsiTheme="majorHAnsi" w:cstheme="minorHAnsi"/>
          <w:i/>
        </w:rPr>
        <w:t>.</w:t>
      </w:r>
    </w:p>
    <w:p w14:paraId="0E3BA51A" w14:textId="77777777" w:rsidR="006C15DA" w:rsidRPr="00EE05AA" w:rsidRDefault="006C15DA" w:rsidP="006C15DA">
      <w:pPr>
        <w:spacing w:line="360" w:lineRule="auto"/>
        <w:contextualSpacing/>
        <w:rPr>
          <w:rFonts w:asciiTheme="majorHAnsi" w:hAnsiTheme="majorHAnsi" w:cstheme="minorHAnsi"/>
        </w:rPr>
      </w:pPr>
    </w:p>
    <w:p w14:paraId="21399038"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Many young men articulated in detail the help that individual practitioners, in various employed positions from a range of services and organisations, and working with them one-to-one, had provided in terms of helping them to understand and manage their emotionality:</w:t>
      </w:r>
    </w:p>
    <w:p w14:paraId="385E698B" w14:textId="77777777" w:rsidR="006C15DA" w:rsidRPr="00EE05AA" w:rsidRDefault="006C15DA" w:rsidP="006C15DA">
      <w:pPr>
        <w:spacing w:line="360" w:lineRule="auto"/>
        <w:ind w:firstLine="720"/>
        <w:contextualSpacing/>
        <w:rPr>
          <w:rFonts w:asciiTheme="majorHAnsi" w:hAnsiTheme="majorHAnsi" w:cstheme="minorHAnsi"/>
        </w:rPr>
      </w:pPr>
      <w:r w:rsidRPr="00EE05AA">
        <w:rPr>
          <w:rFonts w:asciiTheme="majorHAnsi" w:hAnsiTheme="majorHAnsi" w:cstheme="minorHAnsi"/>
        </w:rPr>
        <w:lastRenderedPageBreak/>
        <w:t xml:space="preserve"> </w:t>
      </w:r>
    </w:p>
    <w:p w14:paraId="1903D1FD" w14:textId="003528AE" w:rsidR="006C15DA" w:rsidRPr="00EE05AA" w:rsidRDefault="006C15DA" w:rsidP="006C15DA">
      <w:pPr>
        <w:spacing w:line="360" w:lineRule="auto"/>
        <w:contextualSpacing/>
        <w:rPr>
          <w:rFonts w:asciiTheme="majorHAnsi" w:hAnsiTheme="majorHAnsi" w:cstheme="minorHAnsi"/>
          <w:i/>
        </w:rPr>
      </w:pPr>
      <w:r w:rsidRPr="00EE05AA">
        <w:rPr>
          <w:rFonts w:asciiTheme="majorHAnsi" w:hAnsiTheme="majorHAnsi" w:cstheme="minorHAnsi"/>
        </w:rPr>
        <w:tab/>
      </w:r>
      <w:r w:rsidRPr="00EE05AA">
        <w:rPr>
          <w:rFonts w:asciiTheme="majorHAnsi" w:hAnsiTheme="majorHAnsi" w:cstheme="minorHAnsi"/>
          <w:i/>
        </w:rPr>
        <w:t>You got to talk to people one-on-one about your feelings</w:t>
      </w:r>
      <w:r w:rsidR="00E257BB">
        <w:rPr>
          <w:rFonts w:asciiTheme="majorHAnsi" w:hAnsiTheme="majorHAnsi" w:cstheme="minorHAnsi"/>
          <w:i/>
        </w:rPr>
        <w:t>.</w:t>
      </w:r>
    </w:p>
    <w:p w14:paraId="429B9E3E" w14:textId="77777777" w:rsidR="006C15DA" w:rsidRPr="00EE05AA" w:rsidRDefault="006C15DA" w:rsidP="006C15DA">
      <w:pPr>
        <w:spacing w:line="360" w:lineRule="auto"/>
        <w:contextualSpacing/>
        <w:rPr>
          <w:rFonts w:asciiTheme="majorHAnsi" w:hAnsiTheme="majorHAnsi" w:cstheme="minorHAnsi"/>
          <w:i/>
        </w:rPr>
      </w:pPr>
    </w:p>
    <w:p w14:paraId="6712875D" w14:textId="3D8993D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did talk to like a youth worker before that because I was going to the [youth organisation] too, before my exams. And like I was talking to him about it, and they told me that there’s nothing to worry about, they taught me some like meditation techniques to get me to do well in my exams, like de-stress myself. That was really helpful, to be fair</w:t>
      </w:r>
      <w:r w:rsidR="00E257BB">
        <w:rPr>
          <w:rFonts w:asciiTheme="majorHAnsi" w:hAnsiTheme="majorHAnsi" w:cstheme="minorHAnsi"/>
          <w:i/>
        </w:rPr>
        <w:t>.</w:t>
      </w:r>
    </w:p>
    <w:p w14:paraId="4CDFE8A1" w14:textId="77777777" w:rsidR="006C15DA" w:rsidRPr="00EE05AA" w:rsidRDefault="006C15DA" w:rsidP="006C15DA">
      <w:pPr>
        <w:spacing w:line="360" w:lineRule="auto"/>
        <w:ind w:left="720"/>
        <w:contextualSpacing/>
        <w:rPr>
          <w:rFonts w:asciiTheme="majorHAnsi" w:hAnsiTheme="majorHAnsi" w:cstheme="minorHAnsi"/>
          <w:i/>
        </w:rPr>
      </w:pPr>
    </w:p>
    <w:p w14:paraId="44EC4D44" w14:textId="52D5670F"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 kind of opened up to him a bit about suicidal thoughts. I was in a shit state, I was crying</w:t>
      </w:r>
      <w:r w:rsidR="00E257BB">
        <w:rPr>
          <w:rFonts w:asciiTheme="majorHAnsi" w:hAnsiTheme="majorHAnsi" w:cstheme="minorHAnsi"/>
          <w:i/>
        </w:rPr>
        <w:t>.</w:t>
      </w:r>
    </w:p>
    <w:p w14:paraId="385D0F4F" w14:textId="77777777" w:rsidR="006C15DA" w:rsidRPr="00EE05AA" w:rsidRDefault="006C15DA" w:rsidP="006C15DA">
      <w:pPr>
        <w:spacing w:line="360" w:lineRule="auto"/>
        <w:contextualSpacing/>
        <w:rPr>
          <w:rFonts w:asciiTheme="majorHAnsi" w:hAnsiTheme="majorHAnsi" w:cstheme="minorHAnsi"/>
        </w:rPr>
      </w:pPr>
    </w:p>
    <w:p w14:paraId="652108DD" w14:textId="528E9980"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 xml:space="preserve">It definitely helped our, every angle of my life, like there isn't a point in my life that I can't say it  hasn't helped out, because I wouldn't have the job that I've got now and I wouldn't, I definitely wouldn't have the flat, I've got a, yeah, I'm living pretty well at the moment and that, </w:t>
      </w:r>
      <w:r w:rsidRPr="00301C85">
        <w:rPr>
          <w:rFonts w:asciiTheme="majorHAnsi" w:hAnsiTheme="majorHAnsi" w:cstheme="minorHAnsi"/>
          <w:i/>
        </w:rPr>
        <w:t>in my opinion comes down to [named individual] because they really settled me down, made me realise there was more to life than just hanging out with my mate and causing shit</w:t>
      </w:r>
      <w:r w:rsidR="00E257BB" w:rsidRPr="00301C85">
        <w:rPr>
          <w:rFonts w:asciiTheme="majorHAnsi" w:hAnsiTheme="majorHAnsi" w:cstheme="minorHAnsi"/>
          <w:i/>
        </w:rPr>
        <w:t>.</w:t>
      </w:r>
    </w:p>
    <w:p w14:paraId="3F5DE4D8" w14:textId="77777777" w:rsidR="006C15DA" w:rsidRPr="00EE05AA" w:rsidRDefault="006C15DA" w:rsidP="006C15DA">
      <w:pPr>
        <w:spacing w:line="360" w:lineRule="auto"/>
        <w:contextualSpacing/>
        <w:rPr>
          <w:rFonts w:asciiTheme="majorHAnsi" w:hAnsiTheme="majorHAnsi" w:cstheme="minorHAnsi"/>
          <w:i/>
        </w:rPr>
      </w:pPr>
    </w:p>
    <w:p w14:paraId="10211527" w14:textId="2488F49D"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All the other kids that don’t have as good family lives or a good girlfriend or a partner supporting them and don’t have the support of someone like [named individual], like I would have carried on going down the wrong path and I’d probably be doing something I don’t want to do. Like, because I was going down a very bad path, and then only recently I’ve turned it around</w:t>
      </w:r>
      <w:r w:rsidR="00E257BB">
        <w:rPr>
          <w:rFonts w:asciiTheme="majorHAnsi" w:hAnsiTheme="majorHAnsi" w:cstheme="minorHAnsi"/>
          <w:i/>
        </w:rPr>
        <w:t>.</w:t>
      </w:r>
    </w:p>
    <w:p w14:paraId="6035351C" w14:textId="77777777" w:rsidR="006C15DA" w:rsidRPr="00EE05AA" w:rsidRDefault="006C15DA" w:rsidP="006C15DA">
      <w:pPr>
        <w:spacing w:line="360" w:lineRule="auto"/>
        <w:contextualSpacing/>
        <w:rPr>
          <w:rFonts w:asciiTheme="majorHAnsi" w:hAnsiTheme="majorHAnsi" w:cstheme="minorHAnsi"/>
        </w:rPr>
      </w:pPr>
    </w:p>
    <w:p w14:paraId="744358FF"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Many practitioners also advocated for a trauma-informed approach to understanding mental distress, which involved guiding young men to understand their emotionality and make links from emotions to past experiences:  </w:t>
      </w:r>
    </w:p>
    <w:p w14:paraId="56BA2912" w14:textId="77777777" w:rsidR="006C15DA" w:rsidRPr="00EE05AA" w:rsidRDefault="006C15DA" w:rsidP="006C15DA">
      <w:pPr>
        <w:spacing w:line="360" w:lineRule="auto"/>
        <w:ind w:firstLine="720"/>
        <w:contextualSpacing/>
        <w:rPr>
          <w:rFonts w:asciiTheme="majorHAnsi" w:hAnsiTheme="majorHAnsi" w:cstheme="minorHAnsi"/>
        </w:rPr>
      </w:pPr>
    </w:p>
    <w:p w14:paraId="3EC669E3" w14:textId="58266B93"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lastRenderedPageBreak/>
        <w:t>Nearly all of our cases have experienced, whether it’s, you know, domestic abuse or, you know, sort of violence from a young age and what they don’t necessarily recognise is that, you know, those feelings of fear and sort of not being able to trust and anxiety can come from those</w:t>
      </w:r>
      <w:r w:rsidR="00E257BB">
        <w:rPr>
          <w:rFonts w:asciiTheme="majorHAnsi" w:hAnsiTheme="majorHAnsi" w:cstheme="minorHAnsi"/>
          <w:i/>
        </w:rPr>
        <w:t>.</w:t>
      </w:r>
      <w:r w:rsidRPr="00EE05AA">
        <w:rPr>
          <w:rFonts w:asciiTheme="majorHAnsi" w:hAnsiTheme="majorHAnsi" w:cstheme="minorHAnsi"/>
          <w:i/>
        </w:rPr>
        <w:t xml:space="preserve"> experiences as a, you know, as a child, as a baby, as a young child, and they can’t see the link so they kind of feel like the world is now a scarier place . . . it’s like, “But it’s happened, it’s sort of, it’s in there and yeah, you kind of need to process it and recognise it”</w:t>
      </w:r>
    </w:p>
    <w:p w14:paraId="5CD8F4D7" w14:textId="77777777" w:rsidR="006C15DA" w:rsidRPr="00EE05AA" w:rsidRDefault="006C15DA" w:rsidP="006C15DA">
      <w:pPr>
        <w:spacing w:line="360" w:lineRule="auto"/>
        <w:ind w:left="720"/>
        <w:contextualSpacing/>
        <w:rPr>
          <w:rFonts w:asciiTheme="majorHAnsi" w:hAnsiTheme="majorHAnsi" w:cstheme="minorHAnsi"/>
          <w:i/>
        </w:rPr>
      </w:pPr>
    </w:p>
    <w:p w14:paraId="0A35D1F9" w14:textId="1D1BD646"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That’s in my contract about developing emotional literacy because it seldom goes beyond happy, sad, angry . . . I put anger and mental health just because I think anger’s safe, they’re happy to talk about being angry</w:t>
      </w:r>
      <w:r w:rsidR="00E257BB">
        <w:rPr>
          <w:rFonts w:asciiTheme="majorHAnsi" w:hAnsiTheme="majorHAnsi" w:cstheme="minorHAnsi"/>
          <w:i/>
        </w:rPr>
        <w:t>.</w:t>
      </w:r>
    </w:p>
    <w:p w14:paraId="4DC4E638" w14:textId="77777777" w:rsidR="006C15DA" w:rsidRPr="00EE05AA" w:rsidRDefault="006C15DA" w:rsidP="006C15DA">
      <w:pPr>
        <w:spacing w:line="360" w:lineRule="auto"/>
        <w:ind w:left="720"/>
        <w:contextualSpacing/>
        <w:rPr>
          <w:rFonts w:asciiTheme="majorHAnsi" w:hAnsiTheme="majorHAnsi" w:cstheme="minorHAnsi"/>
          <w:i/>
        </w:rPr>
      </w:pPr>
    </w:p>
    <w:p w14:paraId="15C0C4FE" w14:textId="2DD2F860"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And he really struggled, he really struggles to sort of identify emotions and sort of recognise what he might be experiencing and so we’ve got these mood cards which are like, they’re like, they’re sort of like emojis, like circle pictures that they represent like a range of different moods</w:t>
      </w:r>
      <w:r w:rsidR="00E257BB">
        <w:rPr>
          <w:rFonts w:asciiTheme="majorHAnsi" w:hAnsiTheme="majorHAnsi" w:cstheme="minorHAnsi"/>
          <w:i/>
        </w:rPr>
        <w:t>.</w:t>
      </w:r>
      <w:r w:rsidRPr="00EE05AA">
        <w:rPr>
          <w:rFonts w:asciiTheme="majorHAnsi" w:hAnsiTheme="majorHAnsi" w:cstheme="minorHAnsi"/>
          <w:i/>
        </w:rPr>
        <w:t xml:space="preserve"> </w:t>
      </w:r>
    </w:p>
    <w:p w14:paraId="1F52052A" w14:textId="77777777" w:rsidR="006C15DA" w:rsidRPr="00EE05AA" w:rsidRDefault="006C15DA" w:rsidP="006C15DA">
      <w:pPr>
        <w:spacing w:line="360" w:lineRule="auto"/>
        <w:ind w:left="720"/>
        <w:contextualSpacing/>
        <w:rPr>
          <w:rFonts w:asciiTheme="majorHAnsi" w:hAnsiTheme="majorHAnsi" w:cstheme="minorHAnsi"/>
          <w:i/>
        </w:rPr>
      </w:pPr>
    </w:p>
    <w:p w14:paraId="289CDB46" w14:textId="0521F94C"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We allow them a space to get in touch with their grief, they’re often carrying massive, massive grief from what they’ve lost, whether that’s people, relationships, their innocence sometimes when we’re dealing with sexual abuse survivor . . . The way that they can undo some of the shame triggers is by exploring the trauma that gave them that shame trigger</w:t>
      </w:r>
      <w:r w:rsidR="00E257BB">
        <w:rPr>
          <w:rFonts w:asciiTheme="majorHAnsi" w:hAnsiTheme="majorHAnsi" w:cstheme="minorHAnsi"/>
          <w:i/>
        </w:rPr>
        <w:t>.</w:t>
      </w:r>
    </w:p>
    <w:p w14:paraId="2494DD0E" w14:textId="77777777" w:rsidR="006C15DA" w:rsidRPr="00EE05AA" w:rsidRDefault="006C15DA" w:rsidP="006C15DA">
      <w:pPr>
        <w:spacing w:line="360" w:lineRule="auto"/>
        <w:contextualSpacing/>
        <w:rPr>
          <w:rFonts w:asciiTheme="majorHAnsi" w:hAnsiTheme="majorHAnsi" w:cstheme="minorHAnsi"/>
        </w:rPr>
      </w:pPr>
    </w:p>
    <w:p w14:paraId="7DF126A4" w14:textId="6A18EEA9" w:rsidR="006C15DA" w:rsidRPr="00E257BB" w:rsidRDefault="00D12387" w:rsidP="006C15DA">
      <w:pPr>
        <w:spacing w:line="360" w:lineRule="auto"/>
        <w:contextualSpacing/>
        <w:rPr>
          <w:rFonts w:asciiTheme="majorHAnsi" w:hAnsiTheme="majorHAnsi" w:cstheme="minorHAnsi"/>
          <w:i/>
          <w:iCs/>
        </w:rPr>
      </w:pPr>
      <w:r w:rsidRPr="00E257BB">
        <w:rPr>
          <w:rFonts w:asciiTheme="majorHAnsi" w:hAnsiTheme="majorHAnsi" w:cstheme="minorHAnsi"/>
          <w:i/>
          <w:iCs/>
        </w:rPr>
        <w:t xml:space="preserve">5.5.4 </w:t>
      </w:r>
      <w:r w:rsidR="006C15DA" w:rsidRPr="00E257BB">
        <w:rPr>
          <w:rFonts w:asciiTheme="majorHAnsi" w:hAnsiTheme="majorHAnsi" w:cstheme="minorHAnsi"/>
          <w:i/>
          <w:iCs/>
        </w:rPr>
        <w:t xml:space="preserve">Limitations of current mental health provision </w:t>
      </w:r>
    </w:p>
    <w:p w14:paraId="27646980" w14:textId="7B26A291" w:rsidR="006C15D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Practitioners were critical of the provision of statutory mental health services for young men. Concerns included those related to accessibility, latency between referral and intervention, </w:t>
      </w:r>
      <w:r w:rsidRPr="00EE05AA">
        <w:rPr>
          <w:rFonts w:asciiTheme="majorHAnsi" w:hAnsiTheme="majorHAnsi" w:cstheme="minorHAnsi"/>
        </w:rPr>
        <w:lastRenderedPageBreak/>
        <w:t xml:space="preserve">quick-fix approaches, intervention eligibility criteria, and the problematic transition from child to adult services: </w:t>
      </w:r>
    </w:p>
    <w:p w14:paraId="143793FB" w14:textId="77777777" w:rsidR="00510A9D" w:rsidRPr="00EE05AA" w:rsidRDefault="00510A9D" w:rsidP="006C15DA">
      <w:pPr>
        <w:spacing w:line="360" w:lineRule="auto"/>
        <w:contextualSpacing/>
        <w:rPr>
          <w:rFonts w:asciiTheme="majorHAnsi" w:hAnsiTheme="majorHAnsi" w:cstheme="minorHAnsi"/>
        </w:rPr>
      </w:pPr>
    </w:p>
    <w:p w14:paraId="52301A28" w14:textId="32136674"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They go to the doctors and they’re just given some medication, “Here you go.” They’re not, there’s no long-term proper work being done with them</w:t>
      </w:r>
      <w:r w:rsidR="00E257BB">
        <w:rPr>
          <w:rFonts w:asciiTheme="majorHAnsi" w:hAnsiTheme="majorHAnsi" w:cstheme="minorHAnsi"/>
          <w:i/>
        </w:rPr>
        <w:t>.</w:t>
      </w:r>
    </w:p>
    <w:p w14:paraId="1A685563" w14:textId="77777777" w:rsidR="006C15DA" w:rsidRPr="00EE05AA" w:rsidRDefault="006C15DA" w:rsidP="006C15DA">
      <w:pPr>
        <w:spacing w:line="360" w:lineRule="auto"/>
        <w:ind w:left="720"/>
        <w:contextualSpacing/>
        <w:rPr>
          <w:rFonts w:asciiTheme="majorHAnsi" w:hAnsiTheme="majorHAnsi" w:cstheme="minorHAnsi"/>
          <w:i/>
        </w:rPr>
      </w:pPr>
    </w:p>
    <w:p w14:paraId="2FA07D2D" w14:textId="3843EA50"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You might only get six sessions. They’ll do an assessment and then based on that assessment, they say, “Right, you can have six weeks of CBT or six weeks of counselling or eight weeks of telephone counselling.” So that’s as good as it gets for people</w:t>
      </w:r>
      <w:r w:rsidR="00E257BB">
        <w:rPr>
          <w:rFonts w:asciiTheme="majorHAnsi" w:hAnsiTheme="majorHAnsi" w:cstheme="minorHAnsi"/>
          <w:i/>
        </w:rPr>
        <w:t>.</w:t>
      </w:r>
    </w:p>
    <w:p w14:paraId="3AEEE264" w14:textId="77777777" w:rsidR="006C15DA" w:rsidRPr="00EE05AA" w:rsidRDefault="006C15DA" w:rsidP="006C15DA">
      <w:pPr>
        <w:spacing w:line="360" w:lineRule="auto"/>
        <w:ind w:left="720"/>
        <w:contextualSpacing/>
        <w:rPr>
          <w:rFonts w:asciiTheme="majorHAnsi" w:hAnsiTheme="majorHAnsi" w:cstheme="minorHAnsi"/>
          <w:i/>
        </w:rPr>
      </w:pPr>
    </w:p>
    <w:p w14:paraId="796FF542" w14:textId="505DAC20"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 seems that there is not counselling or therapy available for anyone for like up to six months, and I know young men that are phoning emergency mental health helplines and just, and they're not getting any help</w:t>
      </w:r>
      <w:r w:rsidR="00E257BB">
        <w:rPr>
          <w:rFonts w:asciiTheme="majorHAnsi" w:hAnsiTheme="majorHAnsi" w:cstheme="minorHAnsi"/>
          <w:i/>
        </w:rPr>
        <w:t>.</w:t>
      </w:r>
    </w:p>
    <w:p w14:paraId="5720EA7F" w14:textId="77777777" w:rsidR="006C15DA" w:rsidRPr="00EE05AA" w:rsidRDefault="006C15DA" w:rsidP="006C15DA">
      <w:pPr>
        <w:spacing w:line="360" w:lineRule="auto"/>
        <w:ind w:left="720"/>
        <w:contextualSpacing/>
        <w:rPr>
          <w:rFonts w:asciiTheme="majorHAnsi" w:hAnsiTheme="majorHAnsi" w:cstheme="minorHAnsi"/>
          <w:i/>
        </w:rPr>
      </w:pPr>
    </w:p>
    <w:p w14:paraId="24D0FE5A" w14:textId="6585F5D2"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And I think as far as other services, the mental health services are appalling, the fact that most mental health services won’t accept anybody if they’ve got drug issues. Yet, the majority, I don’t know about the majority but a large percentage of people with mental health issues also suffer with substance misuse issues</w:t>
      </w:r>
      <w:r w:rsidR="00E257BB">
        <w:rPr>
          <w:rFonts w:asciiTheme="majorHAnsi" w:hAnsiTheme="majorHAnsi" w:cstheme="minorHAnsi"/>
          <w:i/>
        </w:rPr>
        <w:t>.</w:t>
      </w:r>
    </w:p>
    <w:p w14:paraId="00BA91F9" w14:textId="77777777" w:rsidR="006C15DA" w:rsidRPr="00EE05AA" w:rsidRDefault="006C15DA" w:rsidP="006C15DA">
      <w:pPr>
        <w:spacing w:line="360" w:lineRule="auto"/>
        <w:ind w:left="720"/>
        <w:contextualSpacing/>
        <w:rPr>
          <w:rFonts w:asciiTheme="majorHAnsi" w:hAnsiTheme="majorHAnsi" w:cstheme="minorHAnsi"/>
          <w:i/>
        </w:rPr>
      </w:pPr>
    </w:p>
    <w:p w14:paraId="107EB7AE" w14:textId="6947956F"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And this is another thing is that 18 is like, and they say it’s a cliff edge for kind of adult services in terms of, you know, you have tonnes of support as a child and none as an adult</w:t>
      </w:r>
      <w:r w:rsidR="00E257BB">
        <w:rPr>
          <w:rFonts w:asciiTheme="majorHAnsi" w:hAnsiTheme="majorHAnsi" w:cstheme="minorHAnsi"/>
          <w:i/>
        </w:rPr>
        <w:t>.</w:t>
      </w:r>
    </w:p>
    <w:p w14:paraId="685946DB" w14:textId="77777777" w:rsidR="006C15DA" w:rsidRPr="00EE05AA" w:rsidRDefault="006C15DA" w:rsidP="006C15DA">
      <w:pPr>
        <w:spacing w:line="360" w:lineRule="auto"/>
        <w:ind w:left="720"/>
        <w:contextualSpacing/>
        <w:rPr>
          <w:rFonts w:asciiTheme="majorHAnsi" w:hAnsiTheme="majorHAnsi" w:cstheme="minorHAnsi"/>
          <w:i/>
        </w:rPr>
      </w:pPr>
    </w:p>
    <w:p w14:paraId="44003130" w14:textId="480F67BD"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It’s that classic, you know, he was referred into adult mental health, missed the appointments, wasn’t bothered, they’re not going to chase him, whereas, you know, if that was CAMHS they’d be chasing</w:t>
      </w:r>
      <w:r w:rsidR="00E257BB">
        <w:rPr>
          <w:rFonts w:asciiTheme="majorHAnsi" w:hAnsiTheme="majorHAnsi" w:cstheme="minorHAnsi"/>
          <w:i/>
        </w:rPr>
        <w:t>.</w:t>
      </w:r>
    </w:p>
    <w:p w14:paraId="566BD6B4" w14:textId="77777777" w:rsidR="006C15DA" w:rsidRPr="00EE05AA" w:rsidRDefault="006C15DA" w:rsidP="006C15DA">
      <w:pPr>
        <w:spacing w:line="360" w:lineRule="auto"/>
        <w:contextualSpacing/>
        <w:rPr>
          <w:rFonts w:asciiTheme="majorHAnsi" w:hAnsiTheme="majorHAnsi" w:cstheme="minorHAnsi"/>
        </w:rPr>
      </w:pPr>
    </w:p>
    <w:p w14:paraId="0218902F"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lastRenderedPageBreak/>
        <w:t>One practitioner interviewed described how mental distress precluded access to other services:</w:t>
      </w:r>
    </w:p>
    <w:p w14:paraId="036017EC"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 </w:t>
      </w:r>
    </w:p>
    <w:p w14:paraId="188258BC" w14:textId="5576A87D"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Often just means they’re quite chaotic and will often miss key appointments around the housing, not able to access the housing they’re offered . . . if they suffer from any sort of mental illness, it’s really, if they feel they’re being isolated from everyone, it’s a big problem. I just think the mental health, if there’s any other existing problem, it just kind of exacerbates it and makes everything worse</w:t>
      </w:r>
      <w:r w:rsidR="00E257BB">
        <w:rPr>
          <w:rFonts w:asciiTheme="majorHAnsi" w:hAnsiTheme="majorHAnsi" w:cstheme="minorHAnsi"/>
          <w:i/>
        </w:rPr>
        <w:t>.</w:t>
      </w:r>
    </w:p>
    <w:p w14:paraId="5B92DDE8" w14:textId="77777777" w:rsidR="006C15DA" w:rsidRPr="00EE05AA" w:rsidRDefault="006C15DA" w:rsidP="006C15DA">
      <w:pPr>
        <w:spacing w:line="360" w:lineRule="auto"/>
        <w:contextualSpacing/>
        <w:rPr>
          <w:rFonts w:asciiTheme="majorHAnsi" w:hAnsiTheme="majorHAnsi" w:cstheme="minorHAnsi"/>
        </w:rPr>
      </w:pPr>
    </w:p>
    <w:p w14:paraId="2C57F206"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Implications for practice</w:t>
      </w:r>
    </w:p>
    <w:p w14:paraId="44EC9F27" w14:textId="77777777" w:rsidR="006C15DA" w:rsidRPr="00EE05AA" w:rsidRDefault="006C15DA" w:rsidP="0080697E">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 xml:space="preserve">Key to helping young men to understand their mental health is encouraging them to attend to their emotionality, and helping them how to identify different emotions and to contextualise them in their lived experiences </w:t>
      </w:r>
    </w:p>
    <w:p w14:paraId="44A2863E"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2A04C1A8" w14:textId="77777777" w:rsidR="006C15DA" w:rsidRPr="00EE05AA" w:rsidRDefault="006C15DA" w:rsidP="0080697E">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 xml:space="preserve">A personalised approach to mental healthcare that accounts for trauma experienced will help to ensure that young men receive the appropriate level and form of intervention </w:t>
      </w:r>
    </w:p>
    <w:p w14:paraId="1386084D"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4BCB2233" w14:textId="4006642C" w:rsidR="006C15DA" w:rsidRPr="00E257BB" w:rsidRDefault="006C15DA" w:rsidP="0080697E">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3FFD9"/>
        <w:spacing w:line="360" w:lineRule="auto"/>
        <w:rPr>
          <w:rFonts w:asciiTheme="majorHAnsi" w:hAnsiTheme="majorHAnsi" w:cstheme="minorHAnsi"/>
        </w:rPr>
      </w:pPr>
      <w:r w:rsidRPr="00EE05AA">
        <w:rPr>
          <w:rFonts w:asciiTheme="majorHAnsi" w:hAnsiTheme="majorHAnsi" w:cstheme="minorHAnsi"/>
        </w:rPr>
        <w:t>Practitioners working with young men should be aware of difficulties young men face in negotiating mental healthcare services, particularly when transitioning from child to adult services</w:t>
      </w:r>
    </w:p>
    <w:p w14:paraId="29D896FC" w14:textId="77777777" w:rsidR="00301C85" w:rsidRDefault="00301C85" w:rsidP="00E257BB">
      <w:pPr>
        <w:spacing w:after="160" w:line="259" w:lineRule="auto"/>
        <w:rPr>
          <w:rFonts w:asciiTheme="majorHAnsi" w:hAnsiTheme="majorHAnsi" w:cstheme="minorHAnsi"/>
          <w:b/>
          <w:bCs/>
        </w:rPr>
      </w:pPr>
    </w:p>
    <w:p w14:paraId="227B2376" w14:textId="77777777" w:rsidR="00301C85" w:rsidRDefault="00301C85" w:rsidP="00E257BB">
      <w:pPr>
        <w:spacing w:after="160" w:line="259" w:lineRule="auto"/>
        <w:rPr>
          <w:rFonts w:asciiTheme="majorHAnsi" w:hAnsiTheme="majorHAnsi" w:cstheme="minorHAnsi"/>
          <w:b/>
          <w:bCs/>
        </w:rPr>
      </w:pPr>
    </w:p>
    <w:p w14:paraId="373B1057" w14:textId="77777777" w:rsidR="00301C85" w:rsidRDefault="00301C85">
      <w:pPr>
        <w:rPr>
          <w:rFonts w:asciiTheme="majorHAnsi" w:hAnsiTheme="majorHAnsi" w:cstheme="minorHAnsi"/>
          <w:b/>
          <w:bCs/>
        </w:rPr>
      </w:pPr>
      <w:r>
        <w:rPr>
          <w:rFonts w:asciiTheme="majorHAnsi" w:hAnsiTheme="majorHAnsi" w:cstheme="minorHAnsi"/>
          <w:b/>
          <w:bCs/>
        </w:rPr>
        <w:br w:type="page"/>
      </w:r>
    </w:p>
    <w:p w14:paraId="5570B8F7" w14:textId="76ABC896" w:rsidR="006C15DA" w:rsidRDefault="00D12387" w:rsidP="00E257BB">
      <w:pPr>
        <w:spacing w:after="160" w:line="259" w:lineRule="auto"/>
        <w:rPr>
          <w:rFonts w:asciiTheme="majorHAnsi" w:hAnsiTheme="majorHAnsi" w:cstheme="minorHAnsi"/>
          <w:b/>
          <w:bCs/>
        </w:rPr>
      </w:pPr>
      <w:r>
        <w:rPr>
          <w:rFonts w:asciiTheme="majorHAnsi" w:hAnsiTheme="majorHAnsi" w:cstheme="minorHAnsi"/>
          <w:b/>
          <w:bCs/>
        </w:rPr>
        <w:lastRenderedPageBreak/>
        <w:t>5</w:t>
      </w:r>
      <w:r w:rsidR="000414B2">
        <w:rPr>
          <w:rFonts w:asciiTheme="majorHAnsi" w:hAnsiTheme="majorHAnsi" w:cstheme="minorHAnsi"/>
          <w:b/>
          <w:bCs/>
        </w:rPr>
        <w:t xml:space="preserve">.6 </w:t>
      </w:r>
      <w:r w:rsidR="006C15DA" w:rsidRPr="00EE05AA">
        <w:rPr>
          <w:rFonts w:asciiTheme="majorHAnsi" w:hAnsiTheme="majorHAnsi" w:cstheme="minorHAnsi"/>
          <w:b/>
          <w:bCs/>
        </w:rPr>
        <w:t>Offending, criminalisation and exploitation</w:t>
      </w:r>
    </w:p>
    <w:p w14:paraId="68834CE4" w14:textId="77777777" w:rsidR="007813F2" w:rsidRPr="00EE05AA" w:rsidRDefault="007813F2" w:rsidP="006C15DA">
      <w:pPr>
        <w:spacing w:line="360" w:lineRule="auto"/>
        <w:contextualSpacing/>
        <w:rPr>
          <w:rFonts w:asciiTheme="majorHAnsi" w:hAnsiTheme="majorHAnsi" w:cstheme="minorHAnsi"/>
          <w:b/>
          <w:bCs/>
        </w:rPr>
      </w:pPr>
    </w:p>
    <w:p w14:paraId="6074C0E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Key Issues</w:t>
      </w:r>
    </w:p>
    <w:p w14:paraId="7A18802E"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Exploitation</w:t>
      </w:r>
    </w:p>
    <w:p w14:paraId="18FA5C00"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Criminal exploitation of young men in the local area is perhaps even more common than may have previously been recognised. Whether this relates to exploitation relating to drug use or whether it relates to other forms of criminal activity and / or sexual exploitation, the impact and dangers experienced are very real indeed for some of our local young men. </w:t>
      </w:r>
    </w:p>
    <w:p w14:paraId="57A8261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68C9519C"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Routes into criminal activity</w:t>
      </w:r>
    </w:p>
    <w:p w14:paraId="0E4CBC0B"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Whilst many young men report that their criminal ‘careers’ began with drug-related activities, both use of drugs and supply of illegal substances, violent offences and being victim of violent offences, are also triggers, as are experiences within home and family life too. </w:t>
      </w:r>
    </w:p>
    <w:p w14:paraId="30D6BAD4"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38CA1FC6"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Stereotypes, labelling and interventions</w:t>
      </w:r>
    </w:p>
    <w:p w14:paraId="3D31B0B8"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The power of labelling and stereotyping of young men within society remains very powerful, with messages about the perceived riskiness of young men being privileged over messages about vulnerability. </w:t>
      </w:r>
    </w:p>
    <w:p w14:paraId="365548C1" w14:textId="77777777" w:rsidR="006C15DA" w:rsidRPr="00EE05AA" w:rsidRDefault="006C15DA" w:rsidP="006C15DA">
      <w:pPr>
        <w:spacing w:line="360" w:lineRule="auto"/>
        <w:contextualSpacing/>
        <w:rPr>
          <w:rFonts w:asciiTheme="majorHAnsi" w:hAnsiTheme="majorHAnsi" w:cstheme="minorHAnsi"/>
        </w:rPr>
      </w:pPr>
    </w:p>
    <w:p w14:paraId="545F0AB2" w14:textId="69314911" w:rsidR="00301C85"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Perhaps unsurprisingly, the theme of offending and experiences of contact with criminal the justice system, processes and services, was referred to by both practitioners working with local young men, and the young men themselves during interviews. However, particularly striking was the co-existence of an understanding of vulnerability (‘at risk’) and / or being unfairly labelled, alongside riskiness (‘risk to others’), reminiscent of the dualities identified in Sharland’s analysis of relevant literature (2006). Indeed, in the writing of this report, we have sometimes struggled to disentangle experiences of exploitation and harm from other aspects of the data. Whilst exploitation and the experience of being victims of crime within the home or outside of it </w:t>
      </w:r>
      <w:r w:rsidRPr="00EE05AA">
        <w:rPr>
          <w:rFonts w:asciiTheme="majorHAnsi" w:hAnsiTheme="majorHAnsi" w:cstheme="minorHAnsi"/>
        </w:rPr>
        <w:lastRenderedPageBreak/>
        <w:t xml:space="preserve">were mentioned explicitly relatively briefly by the young men interviewed, hence the lack of a separate section on exploitation in this report, when mentioned, the issues were extremely pertinent and powerful and are thus incorporated within this section of the report and / or others are seemed most appropriate. </w:t>
      </w:r>
    </w:p>
    <w:p w14:paraId="41326D15" w14:textId="77777777" w:rsidR="006C15DA" w:rsidRPr="00EE05AA" w:rsidRDefault="006C15DA" w:rsidP="006C15DA">
      <w:pPr>
        <w:spacing w:line="360" w:lineRule="auto"/>
        <w:contextualSpacing/>
        <w:rPr>
          <w:rFonts w:asciiTheme="majorHAnsi" w:hAnsiTheme="majorHAnsi" w:cstheme="minorHAnsi"/>
        </w:rPr>
      </w:pPr>
    </w:p>
    <w:p w14:paraId="468FA5EA" w14:textId="579685EC" w:rsidR="006C15DA" w:rsidRPr="00E257BB" w:rsidRDefault="00D12387" w:rsidP="006C15DA">
      <w:pPr>
        <w:spacing w:line="360" w:lineRule="auto"/>
        <w:contextualSpacing/>
        <w:rPr>
          <w:rFonts w:asciiTheme="majorHAnsi" w:hAnsiTheme="majorHAnsi" w:cstheme="minorHAnsi"/>
          <w:i/>
          <w:iCs/>
        </w:rPr>
      </w:pPr>
      <w:r w:rsidRPr="00E257BB">
        <w:rPr>
          <w:rFonts w:asciiTheme="majorHAnsi" w:hAnsiTheme="majorHAnsi" w:cstheme="minorHAnsi"/>
          <w:bCs/>
          <w:i/>
          <w:iCs/>
        </w:rPr>
        <w:t xml:space="preserve">5.6.1 </w:t>
      </w:r>
      <w:r w:rsidR="006C15DA" w:rsidRPr="00E257BB">
        <w:rPr>
          <w:rFonts w:asciiTheme="majorHAnsi" w:hAnsiTheme="majorHAnsi" w:cstheme="minorHAnsi"/>
          <w:bCs/>
          <w:i/>
          <w:iCs/>
        </w:rPr>
        <w:t>Exploitation</w:t>
      </w:r>
      <w:r w:rsidR="006C15DA" w:rsidRPr="00E257BB">
        <w:rPr>
          <w:rFonts w:asciiTheme="majorHAnsi" w:hAnsiTheme="majorHAnsi" w:cstheme="minorHAnsi"/>
          <w:i/>
          <w:iCs/>
        </w:rPr>
        <w:t xml:space="preserve">: </w:t>
      </w:r>
      <w:r w:rsidR="006C15DA" w:rsidRPr="00E257BB">
        <w:rPr>
          <w:rFonts w:asciiTheme="majorHAnsi" w:hAnsiTheme="majorHAnsi" w:cstheme="minorHAnsi"/>
          <w:bCs/>
          <w:i/>
          <w:iCs/>
        </w:rPr>
        <w:t>Young men at risk</w:t>
      </w:r>
      <w:r w:rsidR="006C15DA" w:rsidRPr="00E257BB">
        <w:rPr>
          <w:rFonts w:asciiTheme="majorHAnsi" w:hAnsiTheme="majorHAnsi" w:cstheme="minorHAnsi"/>
          <w:i/>
          <w:iCs/>
        </w:rPr>
        <w:t xml:space="preserve"> </w:t>
      </w:r>
    </w:p>
    <w:p w14:paraId="0FDCE717"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The young men interviewed made reference to being exploited themselves, and a general awareness of sexual, criminal and other forms of exploitation of young men occurring within the local area in several of the interviews conducted. One young man was particularly direct in respect of ‘grooming’, and some of the ways in which he was aware that older men targeted young men:</w:t>
      </w:r>
    </w:p>
    <w:p w14:paraId="289A121B" w14:textId="77777777" w:rsidR="006C15DA" w:rsidRPr="00EE05AA" w:rsidRDefault="006C15DA" w:rsidP="006C15DA">
      <w:pPr>
        <w:pStyle w:val="NormalWeb"/>
        <w:spacing w:line="360" w:lineRule="auto"/>
        <w:ind w:firstLine="720"/>
        <w:contextualSpacing/>
        <w:rPr>
          <w:rFonts w:asciiTheme="majorHAnsi" w:hAnsiTheme="majorHAnsi" w:cstheme="minorHAnsi"/>
          <w:sz w:val="22"/>
          <w:szCs w:val="22"/>
        </w:rPr>
      </w:pPr>
    </w:p>
    <w:p w14:paraId="39B56ADA" w14:textId="5F9D266B"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I didn’t really mention much of the like older generation, like the grooming and all that. That’s a real thing, it’s a lot more real than people think. Like, yeah, it’s somehow making it </w:t>
      </w:r>
      <w:proofErr w:type="gramStart"/>
      <w:r w:rsidRPr="00EE05AA">
        <w:rPr>
          <w:rFonts w:asciiTheme="majorHAnsi" w:hAnsiTheme="majorHAnsi" w:cstheme="minorHAnsi"/>
          <w:i/>
          <w:iCs/>
        </w:rPr>
        <w:t>more easy</w:t>
      </w:r>
      <w:proofErr w:type="gramEnd"/>
      <w:r w:rsidRPr="00EE05AA">
        <w:rPr>
          <w:rFonts w:asciiTheme="majorHAnsi" w:hAnsiTheme="majorHAnsi" w:cstheme="minorHAnsi"/>
          <w:i/>
          <w:iCs/>
        </w:rPr>
        <w:t xml:space="preserve"> for people to get in debt, more people, like I was addicted to Xans [Xanax] when I was 12 and then went through all the grooming, it was, year just not nice . . . It’s a lot more real than you think and it’s a lot bigger in Brighton than, I would say, even London. Like the amount of people like around the beach, around the Marina</w:t>
      </w:r>
      <w:r w:rsidR="00E257BB">
        <w:rPr>
          <w:rFonts w:asciiTheme="majorHAnsi" w:hAnsiTheme="majorHAnsi" w:cstheme="minorHAnsi"/>
          <w:i/>
          <w:iCs/>
        </w:rPr>
        <w:t>.</w:t>
      </w:r>
      <w:r w:rsidRPr="00EE05AA">
        <w:rPr>
          <w:rFonts w:asciiTheme="majorHAnsi" w:hAnsiTheme="majorHAnsi" w:cstheme="minorHAnsi"/>
          <w:i/>
          <w:iCs/>
        </w:rPr>
        <w:t xml:space="preserve"> </w:t>
      </w:r>
    </w:p>
    <w:p w14:paraId="7FD10D40" w14:textId="77777777" w:rsidR="006C15DA" w:rsidRPr="00EE05AA" w:rsidRDefault="006C15DA" w:rsidP="006C15DA">
      <w:pPr>
        <w:spacing w:line="360" w:lineRule="auto"/>
        <w:contextualSpacing/>
        <w:rPr>
          <w:rFonts w:asciiTheme="majorHAnsi" w:hAnsiTheme="majorHAnsi" w:cstheme="minorHAnsi"/>
          <w:i/>
          <w:iCs/>
        </w:rPr>
      </w:pPr>
    </w:p>
    <w:p w14:paraId="11F64B36"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Further clarification regarding the interrelationships between different aspects of the exploitation processes were articulated as follows:</w:t>
      </w:r>
      <w:r w:rsidRPr="00EE05AA" w:rsidDel="00D343E5">
        <w:rPr>
          <w:rFonts w:asciiTheme="majorHAnsi" w:hAnsiTheme="majorHAnsi" w:cstheme="minorHAnsi"/>
        </w:rPr>
        <w:t xml:space="preserve"> </w:t>
      </w:r>
    </w:p>
    <w:p w14:paraId="30B00CF1" w14:textId="77777777" w:rsidR="006C15DA" w:rsidRPr="00EE05AA" w:rsidRDefault="006C15DA" w:rsidP="006C15DA">
      <w:pPr>
        <w:spacing w:line="360" w:lineRule="auto"/>
        <w:contextualSpacing/>
        <w:rPr>
          <w:rFonts w:asciiTheme="majorHAnsi" w:hAnsiTheme="majorHAnsi" w:cstheme="minorHAnsi"/>
        </w:rPr>
      </w:pPr>
    </w:p>
    <w:p w14:paraId="6CED4779" w14:textId="22CCF2CF"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 A lot of the time they think it happens from people going over, offering money. Like it doesn’t, it can start from being in debt, most things can end up with that, especially with the older people taking advantage of younger people with addictions, or even not with addictions . . . like it’s generalised that paedophiles are usually men looking for women, but, especially in Brighton, there’s a lot of gay paedophiles</w:t>
      </w:r>
      <w:r w:rsidR="00301C85">
        <w:rPr>
          <w:rFonts w:asciiTheme="majorHAnsi" w:hAnsiTheme="majorHAnsi" w:cstheme="minorHAnsi"/>
          <w:i/>
          <w:iCs/>
        </w:rPr>
        <w:t>.</w:t>
      </w:r>
      <w:r w:rsidRPr="00EE05AA">
        <w:rPr>
          <w:rFonts w:asciiTheme="majorHAnsi" w:hAnsiTheme="majorHAnsi" w:cstheme="minorHAnsi"/>
          <w:i/>
          <w:iCs/>
        </w:rPr>
        <w:t xml:space="preserve"> </w:t>
      </w:r>
    </w:p>
    <w:p w14:paraId="65DBE990" w14:textId="77777777" w:rsidR="006C15DA" w:rsidRPr="00EE05AA" w:rsidRDefault="006C15DA" w:rsidP="006C15DA">
      <w:pPr>
        <w:spacing w:line="360" w:lineRule="auto"/>
        <w:contextualSpacing/>
        <w:rPr>
          <w:rFonts w:asciiTheme="majorHAnsi" w:hAnsiTheme="majorHAnsi" w:cstheme="minorHAnsi"/>
        </w:rPr>
      </w:pPr>
    </w:p>
    <w:p w14:paraId="409C15D9"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extent of the dangers and severity of the situation faced by some local young men was summarised by one interviewee, seemingly talking from personal experience, when he commented that:</w:t>
      </w:r>
    </w:p>
    <w:p w14:paraId="3EFF0C2F" w14:textId="77777777" w:rsidR="006C15DA" w:rsidRPr="00EE05AA" w:rsidRDefault="006C15DA" w:rsidP="006C15DA">
      <w:pPr>
        <w:spacing w:line="360" w:lineRule="auto"/>
        <w:ind w:firstLine="720"/>
        <w:contextualSpacing/>
        <w:rPr>
          <w:rFonts w:asciiTheme="majorHAnsi" w:hAnsiTheme="majorHAnsi" w:cstheme="minorHAnsi"/>
        </w:rPr>
      </w:pPr>
    </w:p>
    <w:p w14:paraId="5983458F" w14:textId="129F6490"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You could owe someone £1,400, for example, and then come up to you and be like, “Oh, yeah, you need to do this now”, you say no, they go, “Oh, yeah”, you’ve got a knife to your throat, what are you going to do? You have to do that, and that sort of stuff . . . Yeah, or even a debt that isn’t proper, that’s just, they’ve said, “Oh, yeah, you owe me money”, for no reason, like that does happen as well</w:t>
      </w:r>
      <w:r w:rsidR="00E257BB">
        <w:rPr>
          <w:rFonts w:asciiTheme="majorHAnsi" w:hAnsiTheme="majorHAnsi" w:cstheme="minorHAnsi"/>
          <w:i/>
          <w:iCs/>
        </w:rPr>
        <w:t>.</w:t>
      </w:r>
      <w:r w:rsidRPr="00EE05AA">
        <w:rPr>
          <w:rFonts w:asciiTheme="majorHAnsi" w:hAnsiTheme="majorHAnsi" w:cstheme="minorHAnsi"/>
          <w:i/>
          <w:iCs/>
        </w:rPr>
        <w:t xml:space="preserve"> </w:t>
      </w:r>
    </w:p>
    <w:p w14:paraId="1C105AAA" w14:textId="77777777" w:rsidR="006C15DA" w:rsidRPr="00EE05AA" w:rsidRDefault="006C15DA" w:rsidP="006C15DA">
      <w:pPr>
        <w:spacing w:line="360" w:lineRule="auto"/>
        <w:contextualSpacing/>
        <w:rPr>
          <w:rFonts w:asciiTheme="majorHAnsi" w:hAnsiTheme="majorHAnsi" w:cstheme="minorHAnsi"/>
          <w:i/>
          <w:iCs/>
        </w:rPr>
      </w:pPr>
    </w:p>
    <w:p w14:paraId="3A72EBD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relationship between this and drug use and supply, was exemplified during another interview when a young man stated that:</w:t>
      </w:r>
    </w:p>
    <w:p w14:paraId="65CDBCBD" w14:textId="77777777" w:rsidR="006C15DA" w:rsidRPr="00EE05AA" w:rsidRDefault="006C15DA" w:rsidP="006C15DA">
      <w:pPr>
        <w:spacing w:line="360" w:lineRule="auto"/>
        <w:contextualSpacing/>
        <w:rPr>
          <w:rFonts w:asciiTheme="majorHAnsi" w:hAnsiTheme="majorHAnsi" w:cstheme="minorHAnsi"/>
        </w:rPr>
      </w:pPr>
    </w:p>
    <w:p w14:paraId="20CE9C9E" w14:textId="77777777" w:rsidR="006C15DA" w:rsidRPr="00EE05AA" w:rsidRDefault="006C15DA" w:rsidP="006C15DA">
      <w:pPr>
        <w:spacing w:line="360" w:lineRule="auto"/>
        <w:ind w:left="720"/>
        <w:contextualSpacing/>
        <w:rPr>
          <w:rFonts w:asciiTheme="majorHAnsi" w:hAnsiTheme="majorHAnsi" w:cstheme="minorHAnsi"/>
          <w:i/>
        </w:rPr>
      </w:pPr>
      <w:r w:rsidRPr="00EE05AA">
        <w:rPr>
          <w:rFonts w:asciiTheme="majorHAnsi" w:hAnsiTheme="majorHAnsi" w:cstheme="minorHAnsi"/>
          <w:i/>
        </w:rPr>
        <w:t xml:space="preserve">I have heard of that happening with a couple of different people.  Like, “You’ve been buying from me for X amount of time, you haven’t bought from me in a week. What are you doing? You’ve bought from someone </w:t>
      </w:r>
      <w:proofErr w:type="gramStart"/>
      <w:r w:rsidRPr="00EE05AA">
        <w:rPr>
          <w:rFonts w:asciiTheme="majorHAnsi" w:hAnsiTheme="majorHAnsi" w:cstheme="minorHAnsi"/>
          <w:i/>
        </w:rPr>
        <w:t>else,</w:t>
      </w:r>
      <w:proofErr w:type="gramEnd"/>
      <w:r w:rsidRPr="00EE05AA">
        <w:rPr>
          <w:rFonts w:asciiTheme="majorHAnsi" w:hAnsiTheme="majorHAnsi" w:cstheme="minorHAnsi"/>
          <w:i/>
        </w:rPr>
        <w:t xml:space="preserve"> you owe me X amount of money because you’ve bought from someone else” . . . “You meet me here with the money, or without the money, you come here, meet me here” . . . it happens like in thirty seconds, you don’t even know what’s happening . . . or at the beginning they’re like, give you free drugs, like a bit of money, like spending money, clothes, like that sort of stuff as well. Then they get you fucked up and then you don’t even know what’s happening.  You wake up and you’re like, “What?” </w:t>
      </w:r>
    </w:p>
    <w:p w14:paraId="315B19D7" w14:textId="77777777" w:rsidR="006C15DA" w:rsidRPr="00EE05AA" w:rsidRDefault="006C15DA" w:rsidP="006C15DA">
      <w:pPr>
        <w:spacing w:line="360" w:lineRule="auto"/>
        <w:contextualSpacing/>
        <w:rPr>
          <w:rFonts w:asciiTheme="majorHAnsi" w:hAnsiTheme="majorHAnsi" w:cstheme="minorHAnsi"/>
          <w:i/>
        </w:rPr>
      </w:pPr>
    </w:p>
    <w:p w14:paraId="2751C770" w14:textId="77777777" w:rsidR="00301C85" w:rsidRDefault="00301C85" w:rsidP="006C15DA">
      <w:pPr>
        <w:spacing w:line="360" w:lineRule="auto"/>
        <w:contextualSpacing/>
        <w:rPr>
          <w:rFonts w:asciiTheme="majorHAnsi" w:hAnsiTheme="majorHAnsi" w:cstheme="minorHAnsi"/>
          <w:bCs/>
          <w:i/>
          <w:iCs/>
        </w:rPr>
      </w:pPr>
    </w:p>
    <w:p w14:paraId="11D68780" w14:textId="77777777" w:rsidR="00301C85" w:rsidRDefault="00301C85" w:rsidP="006C15DA">
      <w:pPr>
        <w:spacing w:line="360" w:lineRule="auto"/>
        <w:contextualSpacing/>
        <w:rPr>
          <w:rFonts w:asciiTheme="majorHAnsi" w:hAnsiTheme="majorHAnsi" w:cstheme="minorHAnsi"/>
          <w:bCs/>
          <w:i/>
          <w:iCs/>
        </w:rPr>
      </w:pPr>
    </w:p>
    <w:p w14:paraId="5061A3C1" w14:textId="77777777" w:rsidR="00301C85" w:rsidRDefault="00301C85" w:rsidP="006C15DA">
      <w:pPr>
        <w:spacing w:line="360" w:lineRule="auto"/>
        <w:contextualSpacing/>
        <w:rPr>
          <w:rFonts w:asciiTheme="majorHAnsi" w:hAnsiTheme="majorHAnsi" w:cstheme="minorHAnsi"/>
          <w:bCs/>
          <w:i/>
          <w:iCs/>
        </w:rPr>
      </w:pPr>
    </w:p>
    <w:p w14:paraId="0EFB08AD" w14:textId="66B888B6" w:rsidR="006C15DA" w:rsidRPr="00E257BB" w:rsidRDefault="00D12387" w:rsidP="006C15DA">
      <w:pPr>
        <w:spacing w:line="360" w:lineRule="auto"/>
        <w:contextualSpacing/>
        <w:rPr>
          <w:rFonts w:asciiTheme="majorHAnsi" w:hAnsiTheme="majorHAnsi" w:cstheme="minorHAnsi"/>
          <w:bCs/>
          <w:i/>
          <w:iCs/>
        </w:rPr>
      </w:pPr>
      <w:r w:rsidRPr="00E257BB">
        <w:rPr>
          <w:rFonts w:asciiTheme="majorHAnsi" w:hAnsiTheme="majorHAnsi" w:cstheme="minorHAnsi"/>
          <w:bCs/>
          <w:i/>
          <w:iCs/>
        </w:rPr>
        <w:lastRenderedPageBreak/>
        <w:t xml:space="preserve">5.6.2 </w:t>
      </w:r>
      <w:r w:rsidR="006C15DA" w:rsidRPr="00E257BB">
        <w:rPr>
          <w:rFonts w:asciiTheme="majorHAnsi" w:hAnsiTheme="majorHAnsi" w:cstheme="minorHAnsi"/>
          <w:bCs/>
          <w:i/>
          <w:iCs/>
        </w:rPr>
        <w:t>‘Becoming’ offenders</w:t>
      </w:r>
    </w:p>
    <w:p w14:paraId="4F8897D5"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In respect of routes into offending behaviour, several of the young men interviewed referred to selling and supplying drugs as being significant triggers or steps in the process. For some, this had been a relatively short-term experience, and they regarded themselves as being fortunate for not having received custodial sentences and were able to make use of the support provided within community sentences, albeit generally when decisions and motivations to change were already present:</w:t>
      </w:r>
    </w:p>
    <w:p w14:paraId="4635AF0E" w14:textId="77777777" w:rsidR="006C15DA" w:rsidRPr="00EE05AA" w:rsidRDefault="006C15DA" w:rsidP="006C15DA">
      <w:pPr>
        <w:spacing w:line="360" w:lineRule="auto"/>
        <w:ind w:left="720"/>
        <w:contextualSpacing/>
        <w:rPr>
          <w:rFonts w:asciiTheme="majorHAnsi" w:hAnsiTheme="majorHAnsi" w:cstheme="minorHAnsi"/>
          <w:i/>
          <w:iCs/>
        </w:rPr>
      </w:pPr>
    </w:p>
    <w:p w14:paraId="14897C69" w14:textId="64B8FB62"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 was referred to the Youth Offending Team, YOT when I was 16, because I got arrested for selling class A drugs. Yeah, like I got arrested when I was 16, and I went to YOT for about, I think it was a two-year thing, and like 105 hours of community service, but yeah, I think I got off quite lucky going there and not going to prison for any time . . .  My experiences there were good, like I think it’s different for me from other people because I actually decided to kind of stop selling drugs and like make my life better before I even got referred there, like before I even got arrested</w:t>
      </w:r>
      <w:r w:rsidR="00E257BB">
        <w:rPr>
          <w:rFonts w:asciiTheme="majorHAnsi" w:hAnsiTheme="majorHAnsi" w:cstheme="minorHAnsi"/>
          <w:i/>
          <w:iCs/>
        </w:rPr>
        <w:t>.</w:t>
      </w:r>
      <w:r w:rsidRPr="00EE05AA">
        <w:rPr>
          <w:rFonts w:asciiTheme="majorHAnsi" w:hAnsiTheme="majorHAnsi" w:cstheme="minorHAnsi"/>
          <w:i/>
          <w:iCs/>
        </w:rPr>
        <w:t xml:space="preserve">  </w:t>
      </w:r>
    </w:p>
    <w:p w14:paraId="79769731" w14:textId="77777777" w:rsidR="006C15DA" w:rsidRPr="00EE05AA" w:rsidRDefault="006C15DA" w:rsidP="006C15DA">
      <w:pPr>
        <w:spacing w:line="360" w:lineRule="auto"/>
        <w:contextualSpacing/>
        <w:rPr>
          <w:rFonts w:asciiTheme="majorHAnsi" w:hAnsiTheme="majorHAnsi" w:cstheme="minorHAnsi"/>
        </w:rPr>
      </w:pPr>
    </w:p>
    <w:p w14:paraId="559324D7"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Whilst for some young men, their introduction to selling drugs seemed to be associated with them being exploited by older adults, with exploitation and pressure taking several forms as discussed above, for others their own sense of agency and aspects of “choice” and “control” were also referred to during interviews:</w:t>
      </w:r>
    </w:p>
    <w:p w14:paraId="08F937A2" w14:textId="77777777" w:rsidR="006C15DA" w:rsidRPr="00EE05AA" w:rsidRDefault="006C15DA" w:rsidP="006C15DA">
      <w:pPr>
        <w:spacing w:line="360" w:lineRule="auto"/>
        <w:ind w:firstLine="720"/>
        <w:contextualSpacing/>
        <w:rPr>
          <w:rFonts w:asciiTheme="majorHAnsi" w:hAnsiTheme="majorHAnsi" w:cstheme="minorHAnsi"/>
        </w:rPr>
      </w:pPr>
    </w:p>
    <w:p w14:paraId="5BD7E810" w14:textId="77777777"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I was selling drugs with my friends, like we started off just selling weed and a few things, and then one of my mates got in contact with one of our dealers and they said, “Oh do you want to start selling like hard drugs?” and we were like, “Yeah, let’s do it,” and then we started selling hard drugs for a while, like maybe like I don’t know, like five months or six months, and so we were doing that, and obviously you can imagine like a lot of shit </w:t>
      </w:r>
      <w:r w:rsidRPr="00EE05AA">
        <w:rPr>
          <w:rFonts w:asciiTheme="majorHAnsi" w:hAnsiTheme="majorHAnsi" w:cstheme="minorHAnsi"/>
          <w:i/>
          <w:iCs/>
        </w:rPr>
        <w:lastRenderedPageBreak/>
        <w:t xml:space="preserve">happened, and got to a point where I decided to like change supplier, like sell drugs from different people. </w:t>
      </w:r>
    </w:p>
    <w:p w14:paraId="04EEA015" w14:textId="77777777" w:rsidR="006C15DA" w:rsidRPr="00EE05AA" w:rsidRDefault="006C15DA" w:rsidP="006C15DA">
      <w:pPr>
        <w:spacing w:line="360" w:lineRule="auto"/>
        <w:contextualSpacing/>
        <w:rPr>
          <w:rFonts w:asciiTheme="majorHAnsi" w:hAnsiTheme="majorHAnsi" w:cstheme="minorHAnsi"/>
          <w:i/>
          <w:iCs/>
        </w:rPr>
      </w:pPr>
    </w:p>
    <w:p w14:paraId="517FF92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Clearly, the attraction of money-making appeals to many, especially those living in challenging financial circumstances. However, the ease with which young men seemed to have been asked or coerced into fulfilling a role in the drug supply chain is a significant issue, with some of the interviewees referring to access to drugs as being easier than alcohol or even ice cream. One young man described managing this process alongside his education, highlighting that this particular issue may affect not only those out of education or work:</w:t>
      </w:r>
    </w:p>
    <w:p w14:paraId="3587325A" w14:textId="77777777" w:rsidR="006C15DA" w:rsidRPr="00EE05AA" w:rsidRDefault="006C15DA" w:rsidP="006C15DA">
      <w:pPr>
        <w:spacing w:line="360" w:lineRule="auto"/>
        <w:ind w:firstLine="720"/>
        <w:contextualSpacing/>
        <w:rPr>
          <w:rFonts w:asciiTheme="majorHAnsi" w:hAnsiTheme="majorHAnsi" w:cstheme="minorHAnsi"/>
        </w:rPr>
      </w:pPr>
    </w:p>
    <w:p w14:paraId="1EA37BF7" w14:textId="1ED671A0"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 was still selling them when I was studying, because I was like, whenever we’d have like a customer we’d say to the teacher like, “Oh I need to go to the toilet,” and we’d go out of class to sell drugs during class, and then yeah, yeah, they were outside my college, and they were like, “Yo, do you want to make money?” and I was like, “Yeah”</w:t>
      </w:r>
      <w:r w:rsidR="00E257BB">
        <w:rPr>
          <w:rFonts w:asciiTheme="majorHAnsi" w:hAnsiTheme="majorHAnsi" w:cstheme="minorHAnsi"/>
          <w:i/>
          <w:iCs/>
        </w:rPr>
        <w:t>.</w:t>
      </w:r>
    </w:p>
    <w:p w14:paraId="00D78156" w14:textId="77777777" w:rsidR="006C15DA" w:rsidRPr="00EE05AA" w:rsidRDefault="006C15DA" w:rsidP="006C15DA">
      <w:pPr>
        <w:spacing w:line="360" w:lineRule="auto"/>
        <w:contextualSpacing/>
        <w:rPr>
          <w:rFonts w:asciiTheme="majorHAnsi" w:hAnsiTheme="majorHAnsi" w:cstheme="minorHAnsi"/>
          <w:i/>
          <w:iCs/>
        </w:rPr>
      </w:pPr>
    </w:p>
    <w:p w14:paraId="6689621C" w14:textId="4EF05402"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However, young men were also able to articulate the way in which getting into this </w:t>
      </w:r>
      <w:r w:rsidRPr="00DC252B">
        <w:rPr>
          <w:rFonts w:asciiTheme="majorHAnsi" w:hAnsiTheme="majorHAnsi" w:cstheme="minorHAnsi"/>
        </w:rPr>
        <w:t xml:space="preserve">‘scene’ was often </w:t>
      </w:r>
      <w:r w:rsidR="00DA4FDD" w:rsidRPr="00DC252B">
        <w:rPr>
          <w:rFonts w:asciiTheme="majorHAnsi" w:hAnsiTheme="majorHAnsi" w:cstheme="minorHAnsi"/>
        </w:rPr>
        <w:t>easier</w:t>
      </w:r>
      <w:r w:rsidRPr="00DC252B">
        <w:rPr>
          <w:rFonts w:asciiTheme="majorHAnsi" w:hAnsiTheme="majorHAnsi" w:cstheme="minorHAnsi"/>
        </w:rPr>
        <w:t xml:space="preserve"> than leaving it:</w:t>
      </w:r>
    </w:p>
    <w:p w14:paraId="3F85A9E9" w14:textId="77777777" w:rsidR="006C15DA" w:rsidRPr="00EE05AA" w:rsidRDefault="006C15DA" w:rsidP="006C15DA">
      <w:pPr>
        <w:spacing w:line="360" w:lineRule="auto"/>
        <w:ind w:firstLine="720"/>
        <w:contextualSpacing/>
        <w:rPr>
          <w:rFonts w:asciiTheme="majorHAnsi" w:hAnsiTheme="majorHAnsi" w:cstheme="minorHAnsi"/>
        </w:rPr>
      </w:pPr>
    </w:p>
    <w:p w14:paraId="05D41781" w14:textId="392365E8" w:rsidR="006C15DA" w:rsidRPr="00EE05AA" w:rsidRDefault="006C15DA" w:rsidP="006C15DA">
      <w:pPr>
        <w:spacing w:line="360" w:lineRule="auto"/>
        <w:ind w:left="720"/>
        <w:contextualSpacing/>
        <w:rPr>
          <w:rFonts w:asciiTheme="majorHAnsi" w:hAnsiTheme="majorHAnsi" w:cstheme="minorHAnsi"/>
          <w:i/>
          <w:iCs/>
          <w:color w:val="FF0000"/>
        </w:rPr>
      </w:pPr>
      <w:r w:rsidRPr="00EE05AA">
        <w:rPr>
          <w:rFonts w:asciiTheme="majorHAnsi" w:hAnsiTheme="majorHAnsi" w:cstheme="minorHAnsi"/>
          <w:i/>
          <w:iCs/>
        </w:rPr>
        <w:t>They gave me a package, like quite a heavy package and they said, “Oh but you need to hold this and you need to sell it by the week,” and I basically said to them like, “No, I want to stop, I don’t want to do it anymore,” and then they were like, “No, you can’t stop, you have to carry on doing it, like we know like where you live”</w:t>
      </w:r>
      <w:r w:rsidR="00E257BB">
        <w:rPr>
          <w:rFonts w:asciiTheme="majorHAnsi" w:hAnsiTheme="majorHAnsi" w:cstheme="minorHAnsi"/>
          <w:i/>
          <w:iCs/>
        </w:rPr>
        <w:t>.</w:t>
      </w:r>
      <w:r w:rsidRPr="00EE05AA">
        <w:rPr>
          <w:rFonts w:asciiTheme="majorHAnsi" w:hAnsiTheme="majorHAnsi" w:cstheme="minorHAnsi"/>
          <w:i/>
          <w:iCs/>
          <w:color w:val="FF0000"/>
        </w:rPr>
        <w:t xml:space="preserve"> </w:t>
      </w:r>
    </w:p>
    <w:p w14:paraId="098A657A" w14:textId="77777777" w:rsidR="006C15DA" w:rsidRPr="00EE05AA" w:rsidRDefault="006C15DA" w:rsidP="006C15DA">
      <w:pPr>
        <w:spacing w:line="360" w:lineRule="auto"/>
        <w:contextualSpacing/>
        <w:rPr>
          <w:rFonts w:asciiTheme="majorHAnsi" w:hAnsiTheme="majorHAnsi" w:cstheme="minorHAnsi"/>
        </w:rPr>
      </w:pPr>
    </w:p>
    <w:p w14:paraId="1D63BA5C" w14:textId="72F84052" w:rsidR="006C15DA" w:rsidRPr="00E257BB" w:rsidRDefault="00D12387" w:rsidP="006C15DA">
      <w:pPr>
        <w:spacing w:line="360" w:lineRule="auto"/>
        <w:contextualSpacing/>
        <w:rPr>
          <w:rFonts w:asciiTheme="majorHAnsi" w:hAnsiTheme="majorHAnsi" w:cstheme="minorHAnsi"/>
          <w:bCs/>
          <w:i/>
          <w:iCs/>
        </w:rPr>
      </w:pPr>
      <w:r w:rsidRPr="00E257BB">
        <w:rPr>
          <w:rFonts w:asciiTheme="majorHAnsi" w:hAnsiTheme="majorHAnsi" w:cstheme="minorHAnsi"/>
          <w:bCs/>
          <w:i/>
          <w:iCs/>
        </w:rPr>
        <w:t xml:space="preserve">5.6.3 </w:t>
      </w:r>
      <w:r w:rsidR="006C15DA" w:rsidRPr="00E257BB">
        <w:rPr>
          <w:rFonts w:asciiTheme="majorHAnsi" w:hAnsiTheme="majorHAnsi" w:cstheme="minorHAnsi"/>
          <w:bCs/>
          <w:i/>
          <w:iCs/>
        </w:rPr>
        <w:t>Contact with the justice system and services</w:t>
      </w:r>
    </w:p>
    <w:p w14:paraId="15F12860" w14:textId="03B79B6E" w:rsidR="006C15DA" w:rsidRPr="00EE05AA" w:rsidRDefault="006C15DA" w:rsidP="088F2921">
      <w:pPr>
        <w:spacing w:line="360" w:lineRule="auto"/>
        <w:contextualSpacing/>
        <w:rPr>
          <w:rFonts w:asciiTheme="majorHAnsi" w:hAnsiTheme="majorHAnsi" w:cstheme="minorBidi"/>
        </w:rPr>
      </w:pPr>
      <w:r w:rsidRPr="088F2921">
        <w:rPr>
          <w:rFonts w:asciiTheme="majorHAnsi" w:hAnsiTheme="majorHAnsi" w:cstheme="minorBidi"/>
        </w:rPr>
        <w:t xml:space="preserve">Whilst drug-related offences were those most often discussed during interviews with young men, experiences of other offences related to violence or the carrying of weapons were also </w:t>
      </w:r>
      <w:r w:rsidR="19B57673" w:rsidRPr="088F2921">
        <w:rPr>
          <w:rFonts w:asciiTheme="majorHAnsi" w:hAnsiTheme="majorHAnsi" w:cstheme="minorBidi"/>
        </w:rPr>
        <w:t>referred to</w:t>
      </w:r>
      <w:r w:rsidRPr="088F2921">
        <w:rPr>
          <w:rFonts w:asciiTheme="majorHAnsi" w:hAnsiTheme="majorHAnsi" w:cstheme="minorBidi"/>
        </w:rPr>
        <w:t xml:space="preserve">. Indeed, it was </w:t>
      </w:r>
      <w:r w:rsidR="6247F01A" w:rsidRPr="088F2921">
        <w:rPr>
          <w:rFonts w:asciiTheme="majorHAnsi" w:hAnsiTheme="majorHAnsi" w:cstheme="minorBidi"/>
        </w:rPr>
        <w:t>often</w:t>
      </w:r>
      <w:r w:rsidRPr="088F2921">
        <w:rPr>
          <w:rFonts w:asciiTheme="majorHAnsi" w:hAnsiTheme="majorHAnsi" w:cstheme="minorBidi"/>
        </w:rPr>
        <w:t xml:space="preserve"> in relation to such offences that references to the impact of </w:t>
      </w:r>
      <w:r w:rsidRPr="088F2921">
        <w:rPr>
          <w:rFonts w:asciiTheme="majorHAnsi" w:hAnsiTheme="majorHAnsi" w:cstheme="minorBidi"/>
        </w:rPr>
        <w:lastRenderedPageBreak/>
        <w:t xml:space="preserve">contact with the criminal justice systems and processes and with practitioners was referred to. </w:t>
      </w:r>
      <w:r w:rsidR="00301C85" w:rsidRPr="088F2921">
        <w:rPr>
          <w:rFonts w:asciiTheme="majorHAnsi" w:hAnsiTheme="majorHAnsi" w:cstheme="minorBidi"/>
        </w:rPr>
        <w:t>One young man referred to his changing thought processes that enabled him to move from a position of indignation and denial of wrong</w:t>
      </w:r>
      <w:r w:rsidR="00301C85">
        <w:rPr>
          <w:rFonts w:asciiTheme="majorHAnsi" w:hAnsiTheme="majorHAnsi" w:cstheme="minorBidi"/>
        </w:rPr>
        <w:t>-</w:t>
      </w:r>
      <w:r w:rsidR="00301C85" w:rsidRPr="088F2921">
        <w:rPr>
          <w:rFonts w:asciiTheme="majorHAnsi" w:hAnsiTheme="majorHAnsi" w:cstheme="minorBidi"/>
        </w:rPr>
        <w:t>doing to a position of acceptance and moving forwards:</w:t>
      </w:r>
    </w:p>
    <w:p w14:paraId="5FA6B341" w14:textId="77777777" w:rsidR="006C15DA" w:rsidRPr="00EE05AA" w:rsidRDefault="006C15DA" w:rsidP="006C15DA">
      <w:pPr>
        <w:spacing w:line="360" w:lineRule="auto"/>
        <w:contextualSpacing/>
        <w:rPr>
          <w:rFonts w:asciiTheme="majorHAnsi" w:hAnsiTheme="majorHAnsi" w:cstheme="minorHAnsi"/>
        </w:rPr>
      </w:pPr>
    </w:p>
    <w:p w14:paraId="1937B04A" w14:textId="3A741F41"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 took me a while to come to terms with the fact that I’d got in trouble, there was a bit of soul searching, I thought I hadn’t really done something wrong and then I knew you know, sort of deep down knew that I did but then you know, sort of pushed me to the other way where I came out thinking well actually I’ve done nothing wrong, this is a miscarriage of justice, I shouldn’t be here and then by the time I got to [named service] I did a complete U-turn and realised that actually yeah, I did do something wrong but I’m not going to let that ruin my life</w:t>
      </w:r>
      <w:r w:rsidR="00E257BB">
        <w:rPr>
          <w:rFonts w:asciiTheme="majorHAnsi" w:hAnsiTheme="majorHAnsi" w:cstheme="minorHAnsi"/>
          <w:i/>
          <w:iCs/>
        </w:rPr>
        <w:t>.</w:t>
      </w:r>
    </w:p>
    <w:p w14:paraId="0872BB09" w14:textId="77777777" w:rsidR="006C15DA" w:rsidRPr="00EE05AA" w:rsidRDefault="006C15DA" w:rsidP="006C15DA">
      <w:pPr>
        <w:spacing w:line="360" w:lineRule="auto"/>
        <w:contextualSpacing/>
        <w:rPr>
          <w:rFonts w:asciiTheme="majorHAnsi" w:hAnsiTheme="majorHAnsi" w:cstheme="minorHAnsi"/>
        </w:rPr>
      </w:pPr>
    </w:p>
    <w:p w14:paraId="347E0BEE"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Another young man talked about how the way in which he had been treated when arrested for the first time left him feeling angry and confused: </w:t>
      </w:r>
    </w:p>
    <w:p w14:paraId="629C841F" w14:textId="77777777" w:rsidR="006C15DA" w:rsidRPr="00EE05AA" w:rsidRDefault="006C15DA" w:rsidP="006C15DA">
      <w:pPr>
        <w:spacing w:line="360" w:lineRule="auto"/>
        <w:contextualSpacing/>
        <w:rPr>
          <w:rFonts w:asciiTheme="majorHAnsi" w:hAnsiTheme="majorHAnsi" w:cstheme="minorHAnsi"/>
          <w:i/>
          <w:iCs/>
        </w:rPr>
      </w:pPr>
    </w:p>
    <w:p w14:paraId="29859139" w14:textId="69B39799"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I’d never been in a police cell before, I’d never been in a Police car and when I was saying you know, how long should I be here for when they picked me up at uni they said, “Oh you’ll be back this evening,” and I was away for 48 hours, didn’t know what had happened, didn’t know what was going on, no one in my you know, they all treated me like a fucking like a sort of dog</w:t>
      </w:r>
      <w:r w:rsidR="00E257BB">
        <w:rPr>
          <w:rFonts w:asciiTheme="majorHAnsi" w:hAnsiTheme="majorHAnsi" w:cstheme="minorHAnsi"/>
          <w:i/>
          <w:iCs/>
        </w:rPr>
        <w:t>.</w:t>
      </w:r>
    </w:p>
    <w:p w14:paraId="04210A22" w14:textId="77777777" w:rsidR="006C15DA" w:rsidRPr="00EE05AA" w:rsidRDefault="006C15DA" w:rsidP="006C15DA">
      <w:pPr>
        <w:spacing w:line="360" w:lineRule="auto"/>
        <w:contextualSpacing/>
        <w:rPr>
          <w:rFonts w:asciiTheme="majorHAnsi" w:hAnsiTheme="majorHAnsi" w:cstheme="minorHAnsi"/>
          <w:i/>
          <w:iCs/>
        </w:rPr>
      </w:pPr>
    </w:p>
    <w:p w14:paraId="028E6657"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One interviewee also identified the challenges of being a significantly younger man within a system largely designed for older offenders. In this particular situation, he had been convicted of an assault upon his partner. This was his first offence and his experience of attending probation and a ‘Building Better Relationships’ group that was largely attended by older men meant that he felt unable to connect what he had done with their actions and more extensive </w:t>
      </w:r>
      <w:r w:rsidRPr="00EE05AA">
        <w:rPr>
          <w:rFonts w:asciiTheme="majorHAnsi" w:hAnsiTheme="majorHAnsi" w:cstheme="minorHAnsi"/>
        </w:rPr>
        <w:lastRenderedPageBreak/>
        <w:t>histories, allowing him to focus upon their differences rather than commonalities and thus perhaps opportunities being missed to work differently or separately with those younger offenders:</w:t>
      </w:r>
    </w:p>
    <w:p w14:paraId="2BF8BC9F" w14:textId="77777777" w:rsidR="006C15DA" w:rsidRPr="00EE05AA" w:rsidRDefault="006C15DA" w:rsidP="006C15DA">
      <w:pPr>
        <w:spacing w:line="360" w:lineRule="auto"/>
        <w:ind w:firstLine="720"/>
        <w:contextualSpacing/>
        <w:rPr>
          <w:rFonts w:asciiTheme="majorHAnsi" w:hAnsiTheme="majorHAnsi" w:cstheme="minorHAnsi"/>
        </w:rPr>
      </w:pPr>
    </w:p>
    <w:p w14:paraId="0068EF44" w14:textId="7DE9BB70"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Now I appreciate that you know, I was to be, at the end of the day I did commit a domestic offence but it was my first ever conviction, I’d never been in trouble with police before, whilst it was you know, whilst it was a terrible thing happen you know, I was in a group class . . . I was the youngest by quite some time, I think I was 19 when I started you know, there were people there were a lot older me that had come out of quite lengthy prison sentences . . . I’m not trying to say that one crime’s better than another, but people who’d done some pretty, really fucking awful things you know . . . I mean there are people who you know, quite seriously assaulted their partners and I just, I just sort of sat there and I couldn’t help but, I mean I’m sure it’s projection to a degree, but I couldn’t help but feel that you know, I wasn’t necessarily one of these guys and I didn’t really, and it sort of led to me sort of resenting the service</w:t>
      </w:r>
      <w:r w:rsidR="00E257BB">
        <w:rPr>
          <w:rFonts w:asciiTheme="majorHAnsi" w:hAnsiTheme="majorHAnsi" w:cstheme="minorHAnsi"/>
          <w:i/>
          <w:iCs/>
        </w:rPr>
        <w:t>.</w:t>
      </w:r>
    </w:p>
    <w:p w14:paraId="54AFC377" w14:textId="77777777" w:rsidR="006C15DA" w:rsidRPr="00EE05AA" w:rsidRDefault="006C15DA" w:rsidP="006C15DA">
      <w:pPr>
        <w:spacing w:line="360" w:lineRule="auto"/>
        <w:contextualSpacing/>
        <w:rPr>
          <w:rFonts w:asciiTheme="majorHAnsi" w:hAnsiTheme="majorHAnsi" w:cstheme="minorHAnsi"/>
          <w:i/>
          <w:iCs/>
        </w:rPr>
      </w:pPr>
    </w:p>
    <w:p w14:paraId="75EA9C2C" w14:textId="77777777" w:rsidR="006C15DA" w:rsidRPr="00EE05AA" w:rsidRDefault="006C15DA" w:rsidP="006C15DA">
      <w:pPr>
        <w:spacing w:line="360" w:lineRule="auto"/>
        <w:ind w:firstLine="720"/>
        <w:contextualSpacing/>
        <w:rPr>
          <w:rFonts w:asciiTheme="majorHAnsi" w:hAnsiTheme="majorHAnsi" w:cstheme="minorHAnsi"/>
        </w:rPr>
      </w:pPr>
      <w:r w:rsidRPr="00EE05AA">
        <w:rPr>
          <w:rFonts w:asciiTheme="majorHAnsi" w:hAnsiTheme="majorHAnsi" w:cstheme="minorHAnsi"/>
        </w:rPr>
        <w:t xml:space="preserve">He went on to explain: </w:t>
      </w:r>
    </w:p>
    <w:p w14:paraId="44763A72" w14:textId="77777777" w:rsidR="006C15DA" w:rsidRPr="00EE05AA" w:rsidRDefault="006C15DA" w:rsidP="006C15DA">
      <w:pPr>
        <w:spacing w:line="360" w:lineRule="auto"/>
        <w:contextualSpacing/>
        <w:rPr>
          <w:rFonts w:asciiTheme="majorHAnsi" w:hAnsiTheme="majorHAnsi" w:cstheme="minorHAnsi"/>
        </w:rPr>
      </w:pPr>
    </w:p>
    <w:p w14:paraId="06AD0800" w14:textId="0B7CD8CD" w:rsidR="006C15DA" w:rsidRPr="00EE05AA" w:rsidRDefault="00301C85"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So,</w:t>
      </w:r>
      <w:r w:rsidR="006C15DA" w:rsidRPr="00EE05AA">
        <w:rPr>
          <w:rFonts w:asciiTheme="majorHAnsi" w:hAnsiTheme="majorHAnsi" w:cstheme="minorHAnsi"/>
          <w:i/>
          <w:iCs/>
        </w:rPr>
        <w:t xml:space="preserve"> I sat there thinking how am I here with these people who’ve quite clearly been involved with the law a lot more than myself but have quite clearly had quite serious crimes under their belt and I’m sort of sat here you know, a fresh faced 19 year old who’s just been kicked out of university without a fucking clue what’s going on and it really sort of, and it sort of led to me really not getting very much out of the group</w:t>
      </w:r>
      <w:r w:rsidR="00E257BB">
        <w:rPr>
          <w:rFonts w:asciiTheme="majorHAnsi" w:hAnsiTheme="majorHAnsi" w:cstheme="minorHAnsi"/>
          <w:i/>
          <w:iCs/>
        </w:rPr>
        <w:t>.</w:t>
      </w:r>
      <w:r w:rsidR="006C15DA" w:rsidRPr="00EE05AA">
        <w:rPr>
          <w:rFonts w:asciiTheme="majorHAnsi" w:hAnsiTheme="majorHAnsi" w:cstheme="minorHAnsi"/>
          <w:i/>
          <w:iCs/>
        </w:rPr>
        <w:t xml:space="preserve"> </w:t>
      </w:r>
    </w:p>
    <w:p w14:paraId="3718A0A6" w14:textId="77777777" w:rsidR="006C15DA" w:rsidRPr="00EE05AA" w:rsidRDefault="006C15DA" w:rsidP="006C15DA">
      <w:pPr>
        <w:spacing w:line="360" w:lineRule="auto"/>
        <w:ind w:left="720"/>
        <w:contextualSpacing/>
        <w:rPr>
          <w:rFonts w:asciiTheme="majorHAnsi" w:hAnsiTheme="majorHAnsi" w:cstheme="minorHAnsi"/>
          <w:i/>
          <w:iCs/>
        </w:rPr>
      </w:pPr>
    </w:p>
    <w:p w14:paraId="46D7C012"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 xml:space="preserve">One of the particularly striking things arising from this young man’s experience were the barriers he experienced to his engagement and yet his desire for support given that so much that he had known and was familiar with in his life was “unravelling” as a consequence of his </w:t>
      </w:r>
      <w:r w:rsidRPr="00EE05AA">
        <w:rPr>
          <w:rFonts w:asciiTheme="majorHAnsi" w:hAnsiTheme="majorHAnsi" w:cstheme="minorHAnsi"/>
        </w:rPr>
        <w:lastRenderedPageBreak/>
        <w:t>offending. His experience of being seen as an offender first or only an offender, with limited possibility to really change, suggest that a vicious cycle of offending-labelling-expecting further offending and no other support – future offending is perhaps unsurprisingly common:</w:t>
      </w:r>
    </w:p>
    <w:p w14:paraId="5DF03C1E" w14:textId="77777777" w:rsidR="006C15DA" w:rsidRPr="00EE05AA" w:rsidRDefault="006C15DA" w:rsidP="006C15DA">
      <w:pPr>
        <w:spacing w:line="360" w:lineRule="auto"/>
        <w:ind w:firstLine="720"/>
        <w:contextualSpacing/>
        <w:rPr>
          <w:rFonts w:asciiTheme="majorHAnsi" w:hAnsiTheme="majorHAnsi" w:cstheme="minorHAnsi"/>
        </w:rPr>
      </w:pPr>
    </w:p>
    <w:p w14:paraId="643F32F9" w14:textId="74E9C9E8"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People can change you know, now I’ve you know, I’ve done something wrong and now you know, I do think you can get good people who commit crimes and they won’t do it again but it almost felt that because I was treated like a criminal I felt like one then, this whole mentality rather than I don’t really give a fuck now and I mean what difference you know, why don’t I just go and sell drugs or something instead you know, like what’s the point in trying to get my life together when I’ve been tarred with this brush, I’ve been treated like a scumbag, I’ve been looked at like scum, I feel like my life’s over and it just, yeah, it just absolutely destroyed my self-worth and I know it needs to be done but [they] just fucking threw as much fuel in the fire as they possibly could</w:t>
      </w:r>
      <w:r w:rsidR="00E257BB">
        <w:rPr>
          <w:rFonts w:asciiTheme="majorHAnsi" w:hAnsiTheme="majorHAnsi" w:cstheme="minorHAnsi"/>
          <w:i/>
          <w:iCs/>
        </w:rPr>
        <w:t>.</w:t>
      </w:r>
    </w:p>
    <w:p w14:paraId="6A031709" w14:textId="77777777" w:rsidR="00724275" w:rsidRPr="00EE05AA" w:rsidRDefault="00724275" w:rsidP="006C15DA">
      <w:pPr>
        <w:spacing w:line="360" w:lineRule="auto"/>
        <w:contextualSpacing/>
        <w:rPr>
          <w:rFonts w:asciiTheme="majorHAnsi" w:hAnsiTheme="majorHAnsi" w:cstheme="minorHAnsi"/>
          <w:i/>
          <w:iCs/>
        </w:rPr>
      </w:pPr>
    </w:p>
    <w:p w14:paraId="4226F136" w14:textId="59B81715" w:rsidR="006C15DA" w:rsidRPr="00E257BB" w:rsidRDefault="00D12387" w:rsidP="088F2921">
      <w:pPr>
        <w:spacing w:line="360" w:lineRule="auto"/>
        <w:contextualSpacing/>
        <w:rPr>
          <w:rFonts w:asciiTheme="majorHAnsi" w:hAnsiTheme="majorHAnsi" w:cstheme="minorBidi"/>
          <w:i/>
          <w:iCs/>
        </w:rPr>
      </w:pPr>
      <w:r w:rsidRPr="00E257BB">
        <w:rPr>
          <w:rFonts w:asciiTheme="majorHAnsi" w:hAnsiTheme="majorHAnsi" w:cstheme="minorBidi"/>
          <w:i/>
          <w:iCs/>
        </w:rPr>
        <w:t xml:space="preserve">5.6.4 </w:t>
      </w:r>
      <w:r w:rsidR="00510A9D" w:rsidRPr="00E257BB">
        <w:rPr>
          <w:rFonts w:asciiTheme="majorHAnsi" w:hAnsiTheme="majorHAnsi" w:cstheme="minorBidi"/>
          <w:i/>
          <w:iCs/>
        </w:rPr>
        <w:t>Labelled as</w:t>
      </w:r>
      <w:r w:rsidR="006C15DA" w:rsidRPr="00E257BB">
        <w:rPr>
          <w:rFonts w:asciiTheme="majorHAnsi" w:hAnsiTheme="majorHAnsi" w:cstheme="minorBidi"/>
          <w:i/>
          <w:iCs/>
        </w:rPr>
        <w:t xml:space="preserve"> ‘risky’</w:t>
      </w:r>
    </w:p>
    <w:p w14:paraId="1BCD857F" w14:textId="70D8BD15" w:rsidR="006C15DA" w:rsidRPr="00EE05AA" w:rsidRDefault="006C15DA" w:rsidP="088F2921">
      <w:pPr>
        <w:spacing w:line="360" w:lineRule="auto"/>
        <w:contextualSpacing/>
        <w:rPr>
          <w:rFonts w:asciiTheme="majorHAnsi" w:hAnsiTheme="majorHAnsi" w:cstheme="minorBidi"/>
        </w:rPr>
      </w:pPr>
      <w:r w:rsidRPr="088F2921">
        <w:rPr>
          <w:rFonts w:asciiTheme="majorHAnsi" w:hAnsiTheme="majorHAnsi" w:cstheme="minorBidi"/>
        </w:rPr>
        <w:t>Similarly, other young men interviewed as part of this project also referred to the stereotypes that others have of them and how this affects them:</w:t>
      </w:r>
    </w:p>
    <w:p w14:paraId="368721D1" w14:textId="77777777" w:rsidR="006C15DA" w:rsidRPr="00EE05AA" w:rsidRDefault="006C15DA" w:rsidP="006C15DA">
      <w:pPr>
        <w:spacing w:line="360" w:lineRule="auto"/>
        <w:contextualSpacing/>
        <w:rPr>
          <w:rFonts w:asciiTheme="majorHAnsi" w:hAnsiTheme="majorHAnsi" w:cstheme="minorHAnsi"/>
          <w:i/>
          <w:iCs/>
        </w:rPr>
      </w:pPr>
    </w:p>
    <w:p w14:paraId="7929301B" w14:textId="0F4F6511"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I’m not sure if this is just Brighton and Hove, but I think it’s everywhere, but, I mean, like going into shops and being automatically like followed by security, like stopped when you’re leaving shops, you’ve stolen something when you haven’t, you’ve got a receipt. Like that sort of stuff</w:t>
      </w:r>
      <w:r w:rsidR="00E257BB">
        <w:rPr>
          <w:rFonts w:asciiTheme="majorHAnsi" w:hAnsiTheme="majorHAnsi" w:cstheme="minorHAnsi"/>
          <w:i/>
          <w:iCs/>
        </w:rPr>
        <w:t>.</w:t>
      </w:r>
      <w:r w:rsidRPr="00EE05AA">
        <w:rPr>
          <w:rFonts w:asciiTheme="majorHAnsi" w:hAnsiTheme="majorHAnsi" w:cstheme="minorHAnsi"/>
          <w:i/>
          <w:iCs/>
        </w:rPr>
        <w:t xml:space="preserve"> </w:t>
      </w:r>
    </w:p>
    <w:p w14:paraId="3C276C34" w14:textId="77777777" w:rsidR="006C15DA" w:rsidRPr="00EE05AA" w:rsidRDefault="006C15DA" w:rsidP="006C15DA">
      <w:pPr>
        <w:spacing w:line="360" w:lineRule="auto"/>
        <w:ind w:left="720"/>
        <w:contextualSpacing/>
        <w:rPr>
          <w:rFonts w:asciiTheme="majorHAnsi" w:hAnsiTheme="majorHAnsi" w:cstheme="minorHAnsi"/>
          <w:i/>
          <w:iCs/>
        </w:rPr>
      </w:pPr>
    </w:p>
    <w:p w14:paraId="4F6ECC0C" w14:textId="727E8205" w:rsidR="006C15DA" w:rsidRPr="00EE05AA" w:rsidRDefault="006C15DA" w:rsidP="006C15DA">
      <w:pPr>
        <w:spacing w:line="360" w:lineRule="auto"/>
        <w:ind w:left="720"/>
        <w:contextualSpacing/>
        <w:rPr>
          <w:rFonts w:asciiTheme="majorHAnsi" w:hAnsiTheme="majorHAnsi" w:cstheme="minorHAnsi"/>
          <w:i/>
          <w:iCs/>
        </w:rPr>
      </w:pPr>
      <w:r w:rsidRPr="00EE05AA">
        <w:rPr>
          <w:rFonts w:asciiTheme="majorHAnsi" w:hAnsiTheme="majorHAnsi" w:cstheme="minorHAnsi"/>
          <w:i/>
          <w:iCs/>
        </w:rPr>
        <w:t xml:space="preserve">They see me and they search me now because there’s history. But like I just don’t think that’s on, I don’t think they should be allowed to do that . . . it’s like once you’ve done this, because for the past like close to a year my </w:t>
      </w:r>
      <w:proofErr w:type="gramStart"/>
      <w:r w:rsidRPr="00EE05AA">
        <w:rPr>
          <w:rFonts w:asciiTheme="majorHAnsi" w:hAnsiTheme="majorHAnsi" w:cstheme="minorHAnsi"/>
          <w:i/>
          <w:iCs/>
        </w:rPr>
        <w:t>behaviour’s</w:t>
      </w:r>
      <w:proofErr w:type="gramEnd"/>
      <w:r w:rsidRPr="00EE05AA">
        <w:rPr>
          <w:rFonts w:asciiTheme="majorHAnsi" w:hAnsiTheme="majorHAnsi" w:cstheme="minorHAnsi"/>
          <w:i/>
          <w:iCs/>
        </w:rPr>
        <w:t xml:space="preserve"> completely turned a corner . </w:t>
      </w:r>
      <w:r w:rsidRPr="00EE05AA">
        <w:rPr>
          <w:rFonts w:asciiTheme="majorHAnsi" w:hAnsiTheme="majorHAnsi" w:cstheme="minorHAnsi"/>
          <w:i/>
          <w:iCs/>
        </w:rPr>
        <w:lastRenderedPageBreak/>
        <w:t>. . it is hard to leave it behind. Like and that’s not just from like police and adults and stuff, that’s also from people our own age. Like they know me as something</w:t>
      </w:r>
      <w:r w:rsidR="00E257BB">
        <w:rPr>
          <w:rFonts w:asciiTheme="majorHAnsi" w:hAnsiTheme="majorHAnsi" w:cstheme="minorHAnsi"/>
          <w:i/>
          <w:iCs/>
        </w:rPr>
        <w:t>.</w:t>
      </w:r>
    </w:p>
    <w:p w14:paraId="6896DB4C" w14:textId="77777777" w:rsidR="006C15DA" w:rsidRPr="00EE05AA" w:rsidRDefault="006C15DA" w:rsidP="006C15DA">
      <w:pPr>
        <w:spacing w:line="360" w:lineRule="auto"/>
        <w:contextualSpacing/>
        <w:rPr>
          <w:rFonts w:asciiTheme="majorHAnsi" w:hAnsiTheme="majorHAnsi" w:cstheme="minorHAnsi"/>
          <w:i/>
          <w:iCs/>
        </w:rPr>
      </w:pPr>
    </w:p>
    <w:p w14:paraId="7E67E4DF"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The above references to labelling and stereotyping were also raised in the interviews with practitioners working locally with young men:</w:t>
      </w:r>
    </w:p>
    <w:p w14:paraId="72C43F49" w14:textId="77777777" w:rsidR="006C15DA" w:rsidRPr="00EE05AA" w:rsidRDefault="006C15DA" w:rsidP="006C15DA">
      <w:pPr>
        <w:spacing w:line="360" w:lineRule="auto"/>
        <w:contextualSpacing/>
        <w:rPr>
          <w:rFonts w:asciiTheme="majorHAnsi" w:hAnsiTheme="majorHAnsi" w:cstheme="minorHAnsi"/>
        </w:rPr>
      </w:pPr>
    </w:p>
    <w:p w14:paraId="6DBCD285" w14:textId="7502D5B7"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And young people are quite demonised as well, I think they can feel it, do you know what I mean? Like... you know, I went to a gig the other night, and the young person who was volunteering for us has just turned eighteen, and he just got treated so badly by everyone, by bar staff, everyone. It's just like... I don’t know, I think there is this demonisation of young people generally</w:t>
      </w:r>
      <w:r w:rsidR="00E257BB" w:rsidRPr="00301C85">
        <w:rPr>
          <w:rFonts w:asciiTheme="majorHAnsi" w:hAnsiTheme="majorHAnsi" w:cstheme="minorHAnsi"/>
          <w:color w:val="000000" w:themeColor="text1"/>
          <w:sz w:val="24"/>
        </w:rPr>
        <w:t>.</w:t>
      </w:r>
      <w:r w:rsidRPr="00301C85">
        <w:rPr>
          <w:rFonts w:asciiTheme="majorHAnsi" w:hAnsiTheme="majorHAnsi" w:cstheme="minorHAnsi"/>
          <w:color w:val="000000" w:themeColor="text1"/>
          <w:sz w:val="24"/>
        </w:rPr>
        <w:t xml:space="preserve"> </w:t>
      </w:r>
    </w:p>
    <w:p w14:paraId="7FE53405" w14:textId="77777777"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p>
    <w:p w14:paraId="17099FD3" w14:textId="788617D6"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The media</w:t>
      </w:r>
      <w:r w:rsidR="00E257BB" w:rsidRPr="00301C85">
        <w:rPr>
          <w:rFonts w:asciiTheme="majorHAnsi" w:hAnsiTheme="majorHAnsi" w:cstheme="minorHAnsi"/>
          <w:color w:val="000000" w:themeColor="text1"/>
          <w:sz w:val="24"/>
        </w:rPr>
        <w:t>’</w:t>
      </w:r>
      <w:r w:rsidRPr="00301C85">
        <w:rPr>
          <w:rFonts w:asciiTheme="majorHAnsi" w:hAnsiTheme="majorHAnsi" w:cstheme="minorHAnsi"/>
          <w:color w:val="000000" w:themeColor="text1"/>
          <w:sz w:val="24"/>
        </w:rPr>
        <w:t>s portrayal of young people is pretty shocking as well; I think that</w:t>
      </w:r>
      <w:r w:rsidR="00E257BB" w:rsidRPr="00301C85">
        <w:rPr>
          <w:rFonts w:asciiTheme="majorHAnsi" w:hAnsiTheme="majorHAnsi" w:cstheme="minorHAnsi"/>
          <w:color w:val="000000" w:themeColor="text1"/>
          <w:sz w:val="24"/>
        </w:rPr>
        <w:t>’</w:t>
      </w:r>
      <w:r w:rsidRPr="00301C85">
        <w:rPr>
          <w:rFonts w:asciiTheme="majorHAnsi" w:hAnsiTheme="majorHAnsi" w:cstheme="minorHAnsi"/>
          <w:color w:val="000000" w:themeColor="text1"/>
          <w:sz w:val="24"/>
        </w:rPr>
        <w:t>s what I</w:t>
      </w:r>
      <w:r w:rsidR="00E257BB" w:rsidRPr="00301C85">
        <w:rPr>
          <w:rFonts w:asciiTheme="majorHAnsi" w:hAnsiTheme="majorHAnsi" w:cstheme="minorHAnsi"/>
          <w:color w:val="000000" w:themeColor="text1"/>
          <w:sz w:val="24"/>
        </w:rPr>
        <w:t>’</w:t>
      </w:r>
      <w:r w:rsidRPr="00301C85">
        <w:rPr>
          <w:rFonts w:asciiTheme="majorHAnsi" w:hAnsiTheme="majorHAnsi" w:cstheme="minorHAnsi"/>
          <w:color w:val="000000" w:themeColor="text1"/>
          <w:sz w:val="24"/>
        </w:rPr>
        <w:t>m trying to say. Making out to just be little thugs and stuff</w:t>
      </w:r>
      <w:r w:rsidR="00E257BB" w:rsidRPr="00301C85">
        <w:rPr>
          <w:rFonts w:asciiTheme="majorHAnsi" w:hAnsiTheme="majorHAnsi" w:cstheme="minorHAnsi"/>
          <w:color w:val="000000" w:themeColor="text1"/>
          <w:sz w:val="24"/>
        </w:rPr>
        <w:t>.</w:t>
      </w:r>
    </w:p>
    <w:p w14:paraId="67452CCE" w14:textId="77777777" w:rsidR="006C15DA" w:rsidRPr="00EE05AA" w:rsidRDefault="006C15DA" w:rsidP="006C15DA">
      <w:pPr>
        <w:pStyle w:val="Normal1"/>
        <w:spacing w:line="360" w:lineRule="auto"/>
        <w:contextualSpacing/>
        <w:rPr>
          <w:rFonts w:asciiTheme="majorHAnsi" w:hAnsiTheme="majorHAnsi" w:cstheme="minorHAnsi"/>
          <w:sz w:val="22"/>
          <w:szCs w:val="22"/>
        </w:rPr>
      </w:pPr>
    </w:p>
    <w:p w14:paraId="63D4BBCB" w14:textId="1CE75BF1" w:rsidR="006C15DA" w:rsidRPr="00301C85" w:rsidRDefault="00D12387" w:rsidP="006C15DA">
      <w:pPr>
        <w:pStyle w:val="paragraph"/>
        <w:spacing w:before="0" w:beforeAutospacing="0" w:after="0" w:afterAutospacing="0" w:line="360" w:lineRule="auto"/>
        <w:contextualSpacing/>
        <w:textAlignment w:val="baseline"/>
        <w:rPr>
          <w:rFonts w:asciiTheme="majorHAnsi" w:hAnsiTheme="majorHAnsi" w:cstheme="minorHAnsi"/>
          <w:bCs/>
          <w:i/>
          <w:iCs/>
        </w:rPr>
      </w:pPr>
      <w:r w:rsidRPr="00301C85">
        <w:rPr>
          <w:rFonts w:asciiTheme="majorHAnsi" w:hAnsiTheme="majorHAnsi" w:cstheme="minorHAnsi"/>
          <w:bCs/>
          <w:i/>
          <w:iCs/>
        </w:rPr>
        <w:t xml:space="preserve">5.6.5 </w:t>
      </w:r>
      <w:r w:rsidR="006C15DA" w:rsidRPr="00301C85">
        <w:rPr>
          <w:rFonts w:asciiTheme="majorHAnsi" w:hAnsiTheme="majorHAnsi" w:cstheme="minorHAnsi"/>
          <w:bCs/>
          <w:i/>
          <w:iCs/>
        </w:rPr>
        <w:t>More than offenders and routes away from criminal activity</w:t>
      </w:r>
    </w:p>
    <w:p w14:paraId="7335363B" w14:textId="77777777" w:rsidR="006C15DA" w:rsidRPr="00301C85" w:rsidRDefault="006C15DA" w:rsidP="006C15DA">
      <w:pPr>
        <w:pStyle w:val="paragraph"/>
        <w:spacing w:before="0" w:beforeAutospacing="0" w:after="0" w:afterAutospacing="0" w:line="360" w:lineRule="auto"/>
        <w:contextualSpacing/>
        <w:textAlignment w:val="baseline"/>
        <w:rPr>
          <w:rFonts w:asciiTheme="majorHAnsi" w:hAnsiTheme="majorHAnsi" w:cstheme="minorHAnsi"/>
        </w:rPr>
      </w:pPr>
      <w:r w:rsidRPr="00301C85">
        <w:rPr>
          <w:rFonts w:asciiTheme="majorHAnsi" w:hAnsiTheme="majorHAnsi" w:cstheme="minorHAnsi"/>
        </w:rPr>
        <w:t>Whilst this project was not designed to tackle macro-system factors such as the discrimination experienced by young men, it would be foolish to ignore these in conceptualising and designing services to work with young men. Their lived day to day experience is of being labelled and having minimal expectations of them and their ability to ‘turn things around’ by those in positions of authority. It will perhaps take something extra ‘special’ and meaningful to promote engagement and the development of a more positive sense of self and belonging within the community.</w:t>
      </w:r>
      <w:r w:rsidRPr="00301C85">
        <w:rPr>
          <w:rStyle w:val="normaltextrun"/>
          <w:rFonts w:asciiTheme="majorHAnsi" w:hAnsiTheme="majorHAnsi" w:cstheme="minorHAnsi"/>
          <w:i/>
          <w:iCs/>
        </w:rPr>
        <w:t> </w:t>
      </w:r>
      <w:r w:rsidRPr="00301C85">
        <w:rPr>
          <w:rStyle w:val="normaltextrun"/>
          <w:rFonts w:asciiTheme="majorHAnsi" w:hAnsiTheme="majorHAnsi" w:cstheme="minorHAnsi"/>
        </w:rPr>
        <w:t>Young people or children who fail to act, or to be recognised as acting in accordance with a ‘normal’ developmental course risk being deemed problematic. In addition, the ways in which discussions about, and with, young men who are framed as having or displaying ‘problematic behaviour’ matter when trying to improve interventions with young people.</w:t>
      </w:r>
    </w:p>
    <w:p w14:paraId="5B6E6D51" w14:textId="77777777" w:rsidR="006C15DA" w:rsidRPr="00301C85" w:rsidRDefault="006C15DA" w:rsidP="006C15DA">
      <w:pPr>
        <w:pStyle w:val="Normal1"/>
        <w:spacing w:line="360" w:lineRule="auto"/>
        <w:contextualSpacing/>
        <w:rPr>
          <w:rFonts w:asciiTheme="majorHAnsi" w:hAnsiTheme="majorHAnsi" w:cstheme="minorHAnsi"/>
        </w:rPr>
      </w:pPr>
    </w:p>
    <w:p w14:paraId="3664AE3E" w14:textId="2655973C" w:rsidR="006C15DA" w:rsidRPr="00301C85" w:rsidRDefault="006C15DA" w:rsidP="006C15DA">
      <w:pPr>
        <w:pStyle w:val="Normal1"/>
        <w:spacing w:line="360" w:lineRule="auto"/>
        <w:contextualSpacing/>
        <w:rPr>
          <w:rFonts w:asciiTheme="majorHAnsi" w:hAnsiTheme="majorHAnsi" w:cstheme="minorHAnsi"/>
        </w:rPr>
      </w:pPr>
      <w:r w:rsidRPr="00301C85">
        <w:rPr>
          <w:rStyle w:val="normaltextrun"/>
          <w:rFonts w:asciiTheme="majorHAnsi" w:hAnsiTheme="majorHAnsi" w:cstheme="minorHAnsi"/>
        </w:rPr>
        <w:t>It may be difficult for the general public to see beyond the crime statistics as reported within the popular press and the more challenging behaviours of young people, to reveal and understand their vulnerabilities.</w:t>
      </w:r>
      <w:r w:rsidRPr="00301C85">
        <w:rPr>
          <w:rStyle w:val="normaltextrun"/>
          <w:rFonts w:asciiTheme="majorHAnsi" w:hAnsiTheme="majorHAnsi" w:cstheme="minorHAnsi"/>
          <w:color w:val="000000"/>
        </w:rPr>
        <w:t xml:space="preserve"> Indeed, it may be the case that assumptions about young men being a / the problem can lead to the production of “abject others”, and they become “repository for fear and anxieties” (Nayak and Kehily, 2014, p.1335)</w:t>
      </w:r>
      <w:r w:rsidRPr="00301C85">
        <w:rPr>
          <w:rStyle w:val="normaltextrun"/>
          <w:rFonts w:asciiTheme="majorHAnsi" w:hAnsiTheme="majorHAnsi" w:cstheme="minorHAnsi"/>
          <w:i/>
          <w:iCs/>
          <w:color w:val="000000"/>
        </w:rPr>
        <w:t>. </w:t>
      </w:r>
      <w:r w:rsidRPr="00301C85">
        <w:rPr>
          <w:rStyle w:val="normaltextrun"/>
          <w:rFonts w:asciiTheme="majorHAnsi" w:hAnsiTheme="majorHAnsi" w:cstheme="minorHAnsi"/>
        </w:rPr>
        <w:t xml:space="preserve">The role of stigmatisation and stereotyping is clear, as discussed above. Given the importance of reputation within friendship groups amongst young people, behaviours may be reproduced in a self-perpetuating cycle within the context of stigma and stereotyping. Young people may find it harder to change behaviour, or “to be recognised as good” (MacLure </w:t>
      </w:r>
      <w:r w:rsidR="0080697E" w:rsidRPr="0080697E">
        <w:rPr>
          <w:rStyle w:val="normaltextrun"/>
          <w:rFonts w:asciiTheme="majorHAnsi" w:hAnsiTheme="majorHAnsi" w:cstheme="minorHAnsi"/>
          <w:i/>
          <w:iCs/>
        </w:rPr>
        <w:t>et al.,</w:t>
      </w:r>
      <w:r w:rsidRPr="00301C85">
        <w:rPr>
          <w:rStyle w:val="normaltextrun"/>
          <w:rFonts w:asciiTheme="majorHAnsi" w:hAnsiTheme="majorHAnsi" w:cstheme="minorHAnsi"/>
        </w:rPr>
        <w:t xml:space="preserve"> 2008, p.4). As one practitioner commented during an interview, </w:t>
      </w:r>
      <w:r w:rsidRPr="00301C85">
        <w:rPr>
          <w:rStyle w:val="normaltextrun"/>
          <w:rFonts w:asciiTheme="majorHAnsi" w:hAnsiTheme="majorHAnsi" w:cstheme="minorHAnsi"/>
          <w:i/>
          <w:iCs/>
        </w:rPr>
        <w:t>“No one wants to be called vulnerable, do they?”</w:t>
      </w:r>
    </w:p>
    <w:p w14:paraId="4F7D56FD" w14:textId="77777777" w:rsidR="006C15DA" w:rsidRPr="00301C85" w:rsidRDefault="006C15DA" w:rsidP="006C15DA">
      <w:pPr>
        <w:pStyle w:val="paragraph"/>
        <w:spacing w:before="0" w:beforeAutospacing="0" w:after="0" w:afterAutospacing="0" w:line="360" w:lineRule="auto"/>
        <w:contextualSpacing/>
        <w:textAlignment w:val="baseline"/>
        <w:rPr>
          <w:rFonts w:asciiTheme="majorHAnsi" w:hAnsiTheme="majorHAnsi" w:cstheme="minorHAnsi"/>
        </w:rPr>
      </w:pPr>
      <w:r w:rsidRPr="00301C85">
        <w:rPr>
          <w:rStyle w:val="eop"/>
          <w:rFonts w:asciiTheme="majorHAnsi" w:hAnsiTheme="majorHAnsi" w:cstheme="minorHAnsi"/>
        </w:rPr>
        <w:t> </w:t>
      </w:r>
    </w:p>
    <w:p w14:paraId="167F1948" w14:textId="77777777" w:rsidR="006C15DA" w:rsidRPr="00301C85" w:rsidRDefault="006C15DA" w:rsidP="006C15DA">
      <w:pPr>
        <w:spacing w:line="360" w:lineRule="auto"/>
        <w:contextualSpacing/>
        <w:rPr>
          <w:rFonts w:asciiTheme="majorHAnsi" w:hAnsiTheme="majorHAnsi" w:cstheme="minorHAnsi"/>
        </w:rPr>
      </w:pPr>
      <w:r w:rsidRPr="00301C85">
        <w:rPr>
          <w:rFonts w:asciiTheme="majorHAnsi" w:hAnsiTheme="majorHAnsi" w:cstheme="minorHAnsi"/>
        </w:rPr>
        <w:t>Our interviews with practitioners working with local young men identified that there is of course much more to be known and understood than the official statistics for offending outlined in the first section of this report. Not unsurprisingly, interview participants referred to the unknown or unofficial accounts of offending and antisocial behaviour, not just the officially recorded level of engagement in criminal activity:</w:t>
      </w:r>
    </w:p>
    <w:p w14:paraId="24F98BD1" w14:textId="77777777" w:rsidR="006C15DA" w:rsidRPr="00EE05AA" w:rsidRDefault="006C15DA" w:rsidP="006C15DA">
      <w:pPr>
        <w:spacing w:line="360" w:lineRule="auto"/>
        <w:contextualSpacing/>
        <w:rPr>
          <w:rFonts w:asciiTheme="majorHAnsi" w:hAnsiTheme="majorHAnsi" w:cstheme="minorHAnsi"/>
        </w:rPr>
      </w:pPr>
    </w:p>
    <w:p w14:paraId="14758E4C" w14:textId="7E5FB1F0" w:rsidR="006C15DA" w:rsidRPr="00EE05AA" w:rsidRDefault="006C15DA" w:rsidP="006C15DA">
      <w:pPr>
        <w:spacing w:line="360" w:lineRule="auto"/>
        <w:ind w:left="720"/>
        <w:contextualSpacing/>
        <w:rPr>
          <w:rFonts w:asciiTheme="majorHAnsi" w:hAnsiTheme="majorHAnsi" w:cstheme="minorHAnsi"/>
          <w:i/>
          <w:iCs/>
          <w:color w:val="000000" w:themeColor="text1"/>
        </w:rPr>
      </w:pPr>
      <w:r w:rsidRPr="00EE05AA">
        <w:rPr>
          <w:rFonts w:asciiTheme="majorHAnsi" w:hAnsiTheme="majorHAnsi" w:cstheme="minorHAnsi"/>
          <w:i/>
          <w:iCs/>
          <w:color w:val="000000" w:themeColor="text1"/>
        </w:rPr>
        <w:t>There are a lot of young men out there who aren’t on any particular agency’s books, or the police’s, you know, radar, but who are really mixed up in some really, really crazy stuff</w:t>
      </w:r>
      <w:r w:rsidR="00E257BB">
        <w:rPr>
          <w:rFonts w:asciiTheme="majorHAnsi" w:hAnsiTheme="majorHAnsi" w:cstheme="minorHAnsi"/>
          <w:i/>
          <w:iCs/>
          <w:color w:val="000000" w:themeColor="text1"/>
        </w:rPr>
        <w:t>.</w:t>
      </w:r>
    </w:p>
    <w:p w14:paraId="7CE0A404" w14:textId="77777777" w:rsidR="006C15DA" w:rsidRPr="00EE05AA" w:rsidRDefault="006C15DA" w:rsidP="006C15DA">
      <w:pPr>
        <w:spacing w:line="360" w:lineRule="auto"/>
        <w:contextualSpacing/>
        <w:rPr>
          <w:rFonts w:asciiTheme="majorHAnsi" w:hAnsiTheme="majorHAnsi" w:cstheme="minorHAnsi"/>
          <w:color w:val="000000" w:themeColor="text1"/>
        </w:rPr>
      </w:pPr>
    </w:p>
    <w:p w14:paraId="51012650" w14:textId="77777777" w:rsidR="006C15DA" w:rsidRPr="00EE05AA" w:rsidRDefault="006C15DA" w:rsidP="006C15DA">
      <w:pPr>
        <w:spacing w:line="360" w:lineRule="auto"/>
        <w:contextualSpacing/>
        <w:rPr>
          <w:rFonts w:asciiTheme="majorHAnsi" w:hAnsiTheme="majorHAnsi" w:cstheme="minorHAnsi"/>
          <w:color w:val="000000" w:themeColor="text1"/>
        </w:rPr>
      </w:pPr>
      <w:r w:rsidRPr="00EE05AA">
        <w:rPr>
          <w:rFonts w:asciiTheme="majorHAnsi" w:hAnsiTheme="majorHAnsi" w:cstheme="minorHAnsi"/>
          <w:color w:val="000000" w:themeColor="text1"/>
        </w:rPr>
        <w:t>Some practitioners interviewed suggested that such behaviour is itself a ‘cry for help’ and an expression of unmet need associated with histories and home lives:</w:t>
      </w:r>
    </w:p>
    <w:p w14:paraId="3427A474" w14:textId="77777777" w:rsidR="006C15DA" w:rsidRPr="00EE05AA" w:rsidRDefault="006C15DA" w:rsidP="006C15DA">
      <w:pPr>
        <w:spacing w:line="360" w:lineRule="auto"/>
        <w:ind w:firstLine="720"/>
        <w:contextualSpacing/>
        <w:rPr>
          <w:rFonts w:asciiTheme="majorHAnsi" w:hAnsiTheme="majorHAnsi" w:cstheme="minorHAnsi"/>
          <w:color w:val="000000" w:themeColor="text1"/>
        </w:rPr>
      </w:pPr>
      <w:r w:rsidRPr="00EE05AA">
        <w:rPr>
          <w:rFonts w:asciiTheme="majorHAnsi" w:hAnsiTheme="majorHAnsi" w:cstheme="minorHAnsi"/>
          <w:color w:val="000000" w:themeColor="text1"/>
        </w:rPr>
        <w:t xml:space="preserve"> </w:t>
      </w:r>
    </w:p>
    <w:p w14:paraId="6FDCC45D" w14:textId="20D4CFC4" w:rsidR="006C15DA" w:rsidRPr="00EE05AA" w:rsidRDefault="006C15DA" w:rsidP="006C15DA">
      <w:pPr>
        <w:spacing w:line="360" w:lineRule="auto"/>
        <w:ind w:left="720"/>
        <w:contextualSpacing/>
        <w:rPr>
          <w:rFonts w:asciiTheme="majorHAnsi" w:hAnsiTheme="majorHAnsi" w:cstheme="minorHAnsi"/>
        </w:rPr>
      </w:pPr>
      <w:r w:rsidRPr="00EE05AA">
        <w:rPr>
          <w:rFonts w:asciiTheme="majorHAnsi" w:hAnsiTheme="majorHAnsi" w:cstheme="minorHAnsi"/>
          <w:i/>
          <w:iCs/>
          <w:color w:val="000000" w:themeColor="text1"/>
        </w:rPr>
        <w:lastRenderedPageBreak/>
        <w:t>And that’s in terms of fighting, you know, or getting into conflict but I kind of feel that it might be, the way he says it might be related to the abuse that he’s sort of saying, you know, I’m not going to let people hurt me or take advantage of me again</w:t>
      </w:r>
      <w:r w:rsidR="00E257BB">
        <w:rPr>
          <w:rFonts w:asciiTheme="majorHAnsi" w:hAnsiTheme="majorHAnsi" w:cstheme="minorHAnsi"/>
          <w:i/>
          <w:iCs/>
          <w:color w:val="000000" w:themeColor="text1"/>
        </w:rPr>
        <w:t>.</w:t>
      </w:r>
    </w:p>
    <w:p w14:paraId="036615E8" w14:textId="77777777" w:rsidR="006C15DA" w:rsidRPr="00EE05AA" w:rsidRDefault="006C15DA" w:rsidP="006C15DA">
      <w:pPr>
        <w:pStyle w:val="Normal1"/>
        <w:spacing w:line="360" w:lineRule="auto"/>
        <w:contextualSpacing/>
        <w:rPr>
          <w:rFonts w:asciiTheme="majorHAnsi" w:hAnsiTheme="majorHAnsi" w:cstheme="minorHAnsi"/>
          <w:color w:val="000000" w:themeColor="text1"/>
          <w:sz w:val="22"/>
          <w:szCs w:val="22"/>
        </w:rPr>
      </w:pPr>
    </w:p>
    <w:p w14:paraId="7E630AF7" w14:textId="77777777" w:rsidR="006C15DA" w:rsidRPr="00301C85" w:rsidRDefault="006C15DA" w:rsidP="006C15DA">
      <w:pPr>
        <w:pStyle w:val="Normal1"/>
        <w:spacing w:line="360" w:lineRule="auto"/>
        <w:contextualSpacing/>
        <w:rPr>
          <w:rFonts w:asciiTheme="majorHAnsi" w:hAnsiTheme="majorHAnsi" w:cstheme="minorHAnsi"/>
          <w:color w:val="000000" w:themeColor="text1"/>
        </w:rPr>
      </w:pPr>
      <w:r w:rsidRPr="00301C85">
        <w:rPr>
          <w:rFonts w:asciiTheme="majorHAnsi" w:hAnsiTheme="majorHAnsi" w:cstheme="minorHAnsi"/>
          <w:color w:val="000000" w:themeColor="text1"/>
        </w:rPr>
        <w:t>The embedded nature of offending and the challenges this brings when considering interventions is also neatly summarised by the following extracts from one practitioner’s interview:</w:t>
      </w:r>
    </w:p>
    <w:p w14:paraId="38A8B3F2" w14:textId="77777777" w:rsidR="006C15DA" w:rsidRPr="00301C85" w:rsidRDefault="006C15DA" w:rsidP="006C15DA">
      <w:pPr>
        <w:pStyle w:val="Normal1"/>
        <w:spacing w:line="360" w:lineRule="auto"/>
        <w:ind w:firstLine="720"/>
        <w:contextualSpacing/>
        <w:rPr>
          <w:rFonts w:asciiTheme="majorHAnsi" w:hAnsiTheme="majorHAnsi" w:cstheme="minorHAnsi"/>
        </w:rPr>
      </w:pPr>
    </w:p>
    <w:p w14:paraId="3B0C1B76" w14:textId="6501996D"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There’s very often a lot of offending history, people can become quite entrenched in those ideas and behaviours, they’ve often built their lives around that, their families, their support networks, so you’re essentially asking them to come out of everything they’ve ever known</w:t>
      </w:r>
      <w:r w:rsidR="00E257BB" w:rsidRPr="00301C85">
        <w:rPr>
          <w:rFonts w:asciiTheme="majorHAnsi" w:hAnsiTheme="majorHAnsi" w:cstheme="minorHAnsi"/>
          <w:color w:val="000000" w:themeColor="text1"/>
          <w:sz w:val="24"/>
        </w:rPr>
        <w:t>.</w:t>
      </w:r>
    </w:p>
    <w:p w14:paraId="5A8661D2" w14:textId="77777777" w:rsidR="006C15DA" w:rsidRPr="00301C85" w:rsidRDefault="006C15DA" w:rsidP="00301C85">
      <w:pPr>
        <w:pStyle w:val="Caption1"/>
        <w:spacing w:after="0" w:line="360" w:lineRule="auto"/>
        <w:contextualSpacing/>
        <w:jc w:val="left"/>
        <w:rPr>
          <w:rFonts w:asciiTheme="majorHAnsi" w:hAnsiTheme="majorHAnsi" w:cstheme="minorHAnsi"/>
          <w:color w:val="000000" w:themeColor="text1"/>
          <w:sz w:val="24"/>
        </w:rPr>
      </w:pPr>
    </w:p>
    <w:p w14:paraId="70639AF7" w14:textId="300C5E92"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The reason young people are getting exploited because think about it, you’re at home with nothing, someone comes along who’s on the phone, yeah, he’ll get you a pair of trainers, he’ll look after you, give you thirty quid, you know, for dropping off a few bits or whatever, why are you not going to do that if you come from a background where you ain’t got nothing? You know, if anything’s, you’ve got any problems with any money you ring that person up, they’ve got your back, yeah? It’s a no-brainer. Why wouldn’t you, if you’re eating noodles at home and can’t afford to get a new pair of trainers and you want to help your mum? </w:t>
      </w:r>
    </w:p>
    <w:p w14:paraId="6594CA79" w14:textId="77777777" w:rsidR="00510A9D" w:rsidRPr="00301C85" w:rsidRDefault="00510A9D" w:rsidP="00510A9D"/>
    <w:p w14:paraId="383CE23A" w14:textId="208221D9" w:rsidR="006C15DA" w:rsidRPr="00301C85" w:rsidRDefault="006C15DA" w:rsidP="088F2921">
      <w:pPr>
        <w:spacing w:line="360" w:lineRule="auto"/>
        <w:contextualSpacing/>
        <w:rPr>
          <w:rFonts w:asciiTheme="majorHAnsi" w:hAnsiTheme="majorHAnsi" w:cstheme="minorBidi"/>
          <w:shd w:val="clear" w:color="auto" w:fill="FFFFFF"/>
        </w:rPr>
      </w:pPr>
      <w:r w:rsidRPr="00301C85">
        <w:rPr>
          <w:rFonts w:asciiTheme="majorHAnsi" w:hAnsiTheme="majorHAnsi" w:cstheme="minorBidi"/>
          <w:shd w:val="clear" w:color="auto" w:fill="FFFFFF"/>
        </w:rPr>
        <w:t>It may be the case for some young men who have “</w:t>
      </w:r>
      <w:r w:rsidRPr="00301C85">
        <w:rPr>
          <w:rFonts w:asciiTheme="majorHAnsi" w:hAnsiTheme="majorHAnsi" w:cstheme="minorBidi"/>
          <w:i/>
          <w:iCs/>
          <w:shd w:val="clear" w:color="auto" w:fill="FFFFFF"/>
        </w:rPr>
        <w:t xml:space="preserve">a lot of offending history” </w:t>
      </w:r>
      <w:r w:rsidRPr="00301C85">
        <w:rPr>
          <w:rFonts w:asciiTheme="majorHAnsi" w:hAnsiTheme="majorHAnsi" w:cstheme="minorBidi"/>
          <w:shd w:val="clear" w:color="auto" w:fill="FFFFFF"/>
        </w:rPr>
        <w:t>[Practitioner]</w:t>
      </w:r>
      <w:r w:rsidRPr="00301C85">
        <w:rPr>
          <w:rFonts w:asciiTheme="majorHAnsi" w:hAnsiTheme="majorHAnsi" w:cstheme="minorBidi"/>
          <w:i/>
          <w:iCs/>
          <w:shd w:val="clear" w:color="auto" w:fill="FFFFFF"/>
        </w:rPr>
        <w:t xml:space="preserve"> </w:t>
      </w:r>
      <w:r w:rsidRPr="00301C85">
        <w:rPr>
          <w:rFonts w:asciiTheme="majorHAnsi" w:hAnsiTheme="majorHAnsi" w:cstheme="minorBidi"/>
          <w:shd w:val="clear" w:color="auto" w:fill="FFFFFF"/>
        </w:rPr>
        <w:t>that illegal activities have always been an aspect of their lives. A young person’s family and home life often play a key role in their involvement in criminal behaviour.</w:t>
      </w:r>
      <w:r w:rsidRPr="00301C85" w:rsidDel="00662FE3">
        <w:rPr>
          <w:rFonts w:asciiTheme="majorHAnsi" w:hAnsiTheme="majorHAnsi" w:cstheme="minorBidi"/>
          <w:shd w:val="clear" w:color="auto" w:fill="FFFFFF"/>
        </w:rPr>
        <w:t xml:space="preserve"> </w:t>
      </w:r>
      <w:r w:rsidRPr="00301C85">
        <w:rPr>
          <w:rFonts w:asciiTheme="majorHAnsi" w:hAnsiTheme="majorHAnsi" w:cstheme="minorBidi"/>
          <w:shd w:val="clear" w:color="auto" w:fill="FFFFFF"/>
        </w:rPr>
        <w:t xml:space="preserve">The role of socio-economic conditions such as housing problems, unemployment, financial hardship and poverty within the family provide the rationale for becoming involved in crime (Bywaters </w:t>
      </w:r>
      <w:r w:rsidR="0080697E" w:rsidRPr="0080697E">
        <w:rPr>
          <w:rFonts w:asciiTheme="majorHAnsi" w:hAnsiTheme="majorHAnsi" w:cstheme="minorBidi"/>
          <w:i/>
          <w:iCs/>
          <w:shd w:val="clear" w:color="auto" w:fill="FFFFFF"/>
        </w:rPr>
        <w:t>et al.,</w:t>
      </w:r>
      <w:r w:rsidRPr="00301C85">
        <w:rPr>
          <w:rFonts w:asciiTheme="majorHAnsi" w:hAnsiTheme="majorHAnsi" w:cstheme="minorBidi"/>
          <w:shd w:val="clear" w:color="auto" w:fill="FFFFFF"/>
        </w:rPr>
        <w:t xml:space="preserve"> </w:t>
      </w:r>
      <w:r w:rsidRPr="00301C85">
        <w:rPr>
          <w:rFonts w:asciiTheme="majorHAnsi" w:hAnsiTheme="majorHAnsi" w:cstheme="minorBidi"/>
          <w:shd w:val="clear" w:color="auto" w:fill="FFFFFF"/>
        </w:rPr>
        <w:lastRenderedPageBreak/>
        <w:t>2016). Indeed, it may be the most obvious route to take</w:t>
      </w:r>
      <w:r w:rsidR="5100CA74" w:rsidRPr="00301C85">
        <w:rPr>
          <w:rFonts w:asciiTheme="majorHAnsi" w:hAnsiTheme="majorHAnsi" w:cstheme="minorBidi"/>
          <w:shd w:val="clear" w:color="auto" w:fill="FFFFFF"/>
        </w:rPr>
        <w:t>, and one that also provides an identity and ‘career’ in the absence of other alternatives, perhaps</w:t>
      </w:r>
      <w:r w:rsidRPr="00301C85">
        <w:rPr>
          <w:rFonts w:asciiTheme="majorHAnsi" w:hAnsiTheme="majorHAnsi" w:cstheme="minorBidi"/>
          <w:shd w:val="clear" w:color="auto" w:fill="FFFFFF"/>
        </w:rPr>
        <w:t>.</w:t>
      </w:r>
    </w:p>
    <w:p w14:paraId="12BFA583" w14:textId="77777777" w:rsidR="006C15DA" w:rsidRPr="00301C85" w:rsidRDefault="006C15DA" w:rsidP="006C15DA">
      <w:pPr>
        <w:spacing w:line="360" w:lineRule="auto"/>
        <w:ind w:firstLine="720"/>
        <w:contextualSpacing/>
        <w:rPr>
          <w:rFonts w:asciiTheme="majorHAnsi" w:hAnsiTheme="majorHAnsi" w:cstheme="minorHAnsi"/>
          <w:shd w:val="clear" w:color="auto" w:fill="FFFFFF"/>
        </w:rPr>
      </w:pPr>
    </w:p>
    <w:p w14:paraId="5D3D4F48" w14:textId="77777777" w:rsidR="006C15DA" w:rsidRPr="00301C85" w:rsidRDefault="006C15DA" w:rsidP="006C15DA">
      <w:pPr>
        <w:pStyle w:val="paragraph"/>
        <w:spacing w:before="0" w:beforeAutospacing="0" w:after="0" w:afterAutospacing="0" w:line="360" w:lineRule="auto"/>
        <w:contextualSpacing/>
        <w:textAlignment w:val="baseline"/>
        <w:rPr>
          <w:rFonts w:asciiTheme="majorHAnsi" w:hAnsiTheme="majorHAnsi" w:cstheme="minorHAnsi"/>
          <w:i/>
          <w:iCs/>
          <w:color w:val="000000"/>
        </w:rPr>
      </w:pPr>
      <w:r w:rsidRPr="00301C85">
        <w:rPr>
          <w:rStyle w:val="normaltextrun"/>
          <w:rFonts w:asciiTheme="majorHAnsi" w:hAnsiTheme="majorHAnsi" w:cstheme="minorHAnsi"/>
        </w:rPr>
        <w:t>The very nature of being a ‘hard to reach’ group means that many young men who are at the early stages of their involvement in offending and criminal activities are not necessarily on the Police’s ‘radar’. Disengagement from formal education commonly occurs alongside an increase in criminal behaviours, and can lead to young men becoming unaccounted for, and at best, engaging with practitioners and provision only sporadically.</w:t>
      </w:r>
      <w:r w:rsidRPr="00301C85">
        <w:rPr>
          <w:rStyle w:val="normaltextrun"/>
          <w:rFonts w:asciiTheme="majorHAnsi" w:hAnsiTheme="majorHAnsi" w:cstheme="minorHAnsi"/>
          <w:color w:val="000000"/>
        </w:rPr>
        <w:t> Excellent services may be available, but there may be many barriers to young men accessing them </w:t>
      </w:r>
      <w:r w:rsidRPr="00301C85">
        <w:rPr>
          <w:rStyle w:val="normaltextrun"/>
          <w:rFonts w:asciiTheme="majorHAnsi" w:hAnsiTheme="majorHAnsi" w:cstheme="minorHAnsi"/>
        </w:rPr>
        <w:t>even if they </w:t>
      </w:r>
      <w:r w:rsidRPr="00301C85">
        <w:rPr>
          <w:rStyle w:val="normaltextrun"/>
          <w:rFonts w:asciiTheme="majorHAnsi" w:hAnsiTheme="majorHAnsi" w:cstheme="minorHAnsi"/>
          <w:i/>
          <w:iCs/>
        </w:rPr>
        <w:t>“</w:t>
      </w:r>
      <w:r w:rsidRPr="00301C85">
        <w:rPr>
          <w:rStyle w:val="normaltextrun"/>
          <w:rFonts w:asciiTheme="majorHAnsi" w:hAnsiTheme="majorHAnsi" w:cstheme="minorHAnsi"/>
          <w:i/>
          <w:iCs/>
          <w:color w:val="000000"/>
        </w:rPr>
        <w:t>are really mixed up in some really, really crazy stuff”</w:t>
      </w:r>
      <w:r w:rsidRPr="00301C85">
        <w:rPr>
          <w:rStyle w:val="normaltextrun"/>
          <w:rFonts w:asciiTheme="majorHAnsi" w:hAnsiTheme="majorHAnsi" w:cstheme="minorHAnsi"/>
          <w:color w:val="000000"/>
        </w:rPr>
        <w:t> [Practitioner].  Social service and law enforcement practitioners who participated in the research often discussed the importance of interventions with families occurring alongside young men, but in a supportive way</w:t>
      </w:r>
      <w:r w:rsidRPr="00301C85">
        <w:rPr>
          <w:rStyle w:val="normaltextrun"/>
          <w:rFonts w:asciiTheme="majorHAnsi" w:hAnsiTheme="majorHAnsi" w:cstheme="minorHAnsi"/>
          <w:i/>
          <w:iCs/>
          <w:color w:val="000000"/>
        </w:rPr>
        <w:t>:</w:t>
      </w:r>
      <w:r w:rsidRPr="00301C85">
        <w:rPr>
          <w:rFonts w:asciiTheme="majorHAnsi" w:hAnsiTheme="majorHAnsi" w:cstheme="minorHAnsi"/>
          <w:i/>
          <w:iCs/>
          <w:color w:val="000000"/>
        </w:rPr>
        <w:t xml:space="preserve"> </w:t>
      </w:r>
    </w:p>
    <w:p w14:paraId="0DBFB6CA" w14:textId="77777777" w:rsidR="00301C85" w:rsidRDefault="00301C85" w:rsidP="006C15DA">
      <w:pPr>
        <w:pStyle w:val="paragraph"/>
        <w:spacing w:before="0" w:beforeAutospacing="0" w:after="0" w:afterAutospacing="0" w:line="360" w:lineRule="auto"/>
        <w:ind w:left="720"/>
        <w:contextualSpacing/>
        <w:textAlignment w:val="baseline"/>
        <w:rPr>
          <w:rFonts w:asciiTheme="majorHAnsi" w:hAnsiTheme="majorHAnsi" w:cstheme="minorHAnsi"/>
          <w:color w:val="000000"/>
        </w:rPr>
      </w:pPr>
    </w:p>
    <w:p w14:paraId="3DBAC3CC" w14:textId="2B8BBCAD" w:rsidR="00301C85" w:rsidRPr="00301C85" w:rsidRDefault="006C15DA" w:rsidP="006C15DA">
      <w:pPr>
        <w:pStyle w:val="paragraph"/>
        <w:spacing w:before="0" w:beforeAutospacing="0" w:after="0" w:afterAutospacing="0" w:line="360" w:lineRule="auto"/>
        <w:ind w:left="720"/>
        <w:contextualSpacing/>
        <w:textAlignment w:val="baseline"/>
        <w:rPr>
          <w:rStyle w:val="eop"/>
          <w:rFonts w:asciiTheme="majorHAnsi" w:hAnsiTheme="majorHAnsi" w:cstheme="minorHAnsi"/>
          <w:color w:val="000000"/>
        </w:rPr>
      </w:pPr>
      <w:r w:rsidRPr="00301C85">
        <w:rPr>
          <w:rFonts w:asciiTheme="majorHAnsi" w:hAnsiTheme="majorHAnsi" w:cstheme="minorHAnsi"/>
          <w:color w:val="000000"/>
        </w:rPr>
        <w:t>[Practitioner]</w:t>
      </w:r>
      <w:r w:rsidRPr="00301C85">
        <w:rPr>
          <w:rFonts w:asciiTheme="majorHAnsi" w:hAnsiTheme="majorHAnsi" w:cstheme="minorHAnsi"/>
          <w:i/>
          <w:iCs/>
          <w:color w:val="000000"/>
        </w:rPr>
        <w:t xml:space="preserve"> </w:t>
      </w:r>
      <w:r w:rsidRPr="00301C85">
        <w:rPr>
          <w:rStyle w:val="normaltextrun"/>
          <w:rFonts w:asciiTheme="majorHAnsi" w:hAnsiTheme="majorHAnsi" w:cstheme="minorHAnsi"/>
          <w:i/>
          <w:iCs/>
          <w:color w:val="000000"/>
        </w:rPr>
        <w:t>I’m not saying we jump straight in with parenting orders and stuff like, you know, I’m not big on just jumping in with punitive measures, I think there’s got to be a support mechanism</w:t>
      </w:r>
      <w:r w:rsidR="00E257BB" w:rsidRPr="00301C85">
        <w:rPr>
          <w:rStyle w:val="normaltextrun"/>
          <w:rFonts w:asciiTheme="majorHAnsi" w:hAnsiTheme="majorHAnsi" w:cstheme="minorHAnsi"/>
          <w:i/>
          <w:iCs/>
          <w:color w:val="000000"/>
        </w:rPr>
        <w:t>.</w:t>
      </w:r>
      <w:r w:rsidRPr="00301C85">
        <w:rPr>
          <w:rStyle w:val="eop"/>
          <w:rFonts w:asciiTheme="majorHAnsi" w:hAnsiTheme="majorHAnsi" w:cstheme="minorHAnsi"/>
          <w:color w:val="000000"/>
        </w:rPr>
        <w:t> </w:t>
      </w:r>
    </w:p>
    <w:p w14:paraId="5F2EFDC5" w14:textId="77777777" w:rsidR="006C15DA" w:rsidRPr="00301C85" w:rsidRDefault="006C15DA" w:rsidP="00301C85">
      <w:pPr>
        <w:pStyle w:val="paragraph"/>
        <w:spacing w:before="0" w:beforeAutospacing="0" w:after="0" w:afterAutospacing="0" w:line="360" w:lineRule="auto"/>
        <w:ind w:left="720"/>
        <w:contextualSpacing/>
        <w:textAlignment w:val="baseline"/>
        <w:rPr>
          <w:rStyle w:val="eop"/>
          <w:rFonts w:asciiTheme="majorHAnsi" w:hAnsiTheme="majorHAnsi" w:cstheme="minorHAnsi"/>
          <w:color w:val="000000"/>
        </w:rPr>
      </w:pPr>
    </w:p>
    <w:p w14:paraId="28CA6AE0" w14:textId="6FBFC05D" w:rsidR="006C15DA" w:rsidRPr="00301C85" w:rsidRDefault="006C15DA" w:rsidP="006C15DA">
      <w:pPr>
        <w:pStyle w:val="paragraph"/>
        <w:spacing w:before="0" w:beforeAutospacing="0" w:after="0" w:afterAutospacing="0" w:line="360" w:lineRule="auto"/>
        <w:contextualSpacing/>
        <w:textAlignment w:val="baseline"/>
        <w:rPr>
          <w:rFonts w:asciiTheme="majorHAnsi" w:hAnsiTheme="majorHAnsi" w:cstheme="minorHAnsi"/>
        </w:rPr>
      </w:pPr>
      <w:r w:rsidRPr="00301C85">
        <w:rPr>
          <w:rStyle w:val="eop"/>
          <w:rFonts w:asciiTheme="majorHAnsi" w:hAnsiTheme="majorHAnsi" w:cstheme="minorHAnsi"/>
          <w:color w:val="000000"/>
        </w:rPr>
        <w:t>This echoes some of the feedback from young men during their interviews about the accessibility and ‘engage-ability’ aspects of some services</w:t>
      </w:r>
      <w:r w:rsidR="00301C85">
        <w:rPr>
          <w:rStyle w:val="eop"/>
          <w:rFonts w:asciiTheme="majorHAnsi" w:hAnsiTheme="majorHAnsi" w:cstheme="minorHAnsi"/>
          <w:color w:val="000000"/>
        </w:rPr>
        <w:t>.</w:t>
      </w:r>
    </w:p>
    <w:p w14:paraId="7872D3F6" w14:textId="45D494BB" w:rsidR="006C15DA" w:rsidRDefault="006C15DA" w:rsidP="006C15DA">
      <w:pPr>
        <w:spacing w:line="360" w:lineRule="auto"/>
        <w:contextualSpacing/>
        <w:rPr>
          <w:rStyle w:val="eop"/>
          <w:rFonts w:asciiTheme="majorHAnsi" w:hAnsiTheme="majorHAnsi" w:cstheme="minorHAnsi"/>
        </w:rPr>
      </w:pPr>
      <w:r w:rsidRPr="00EE05AA">
        <w:rPr>
          <w:rStyle w:val="eop"/>
          <w:rFonts w:asciiTheme="majorHAnsi" w:hAnsiTheme="majorHAnsi" w:cstheme="minorHAnsi"/>
        </w:rPr>
        <w:t> </w:t>
      </w:r>
    </w:p>
    <w:p w14:paraId="075AA20E" w14:textId="08775DE8" w:rsidR="00301C85" w:rsidRDefault="00301C85" w:rsidP="006C15DA">
      <w:pPr>
        <w:spacing w:line="360" w:lineRule="auto"/>
        <w:contextualSpacing/>
        <w:rPr>
          <w:rStyle w:val="eop"/>
          <w:rFonts w:asciiTheme="majorHAnsi" w:hAnsiTheme="majorHAnsi" w:cstheme="minorHAnsi"/>
        </w:rPr>
      </w:pPr>
    </w:p>
    <w:p w14:paraId="665A5177" w14:textId="0869AD83" w:rsidR="00301C85" w:rsidRDefault="00301C85" w:rsidP="006C15DA">
      <w:pPr>
        <w:spacing w:line="360" w:lineRule="auto"/>
        <w:contextualSpacing/>
        <w:rPr>
          <w:rStyle w:val="eop"/>
          <w:rFonts w:asciiTheme="majorHAnsi" w:hAnsiTheme="majorHAnsi" w:cstheme="minorHAnsi"/>
        </w:rPr>
      </w:pPr>
    </w:p>
    <w:p w14:paraId="59321FAE" w14:textId="3493F0DB" w:rsidR="00301C85" w:rsidRDefault="00301C85" w:rsidP="006C15DA">
      <w:pPr>
        <w:spacing w:line="360" w:lineRule="auto"/>
        <w:contextualSpacing/>
        <w:rPr>
          <w:rStyle w:val="eop"/>
          <w:rFonts w:asciiTheme="majorHAnsi" w:hAnsiTheme="majorHAnsi" w:cstheme="minorHAnsi"/>
        </w:rPr>
      </w:pPr>
    </w:p>
    <w:p w14:paraId="2A8BC96B" w14:textId="783EFA96" w:rsidR="00301C85" w:rsidRDefault="00301C85" w:rsidP="006C15DA">
      <w:pPr>
        <w:spacing w:line="360" w:lineRule="auto"/>
        <w:contextualSpacing/>
        <w:rPr>
          <w:rStyle w:val="eop"/>
          <w:rFonts w:asciiTheme="majorHAnsi" w:hAnsiTheme="majorHAnsi" w:cstheme="minorHAnsi"/>
        </w:rPr>
      </w:pPr>
    </w:p>
    <w:p w14:paraId="232047D4" w14:textId="075FDB37" w:rsidR="00301C85" w:rsidRDefault="00301C85" w:rsidP="006C15DA">
      <w:pPr>
        <w:spacing w:line="360" w:lineRule="auto"/>
        <w:contextualSpacing/>
        <w:rPr>
          <w:rStyle w:val="eop"/>
          <w:rFonts w:asciiTheme="majorHAnsi" w:hAnsiTheme="majorHAnsi" w:cstheme="minorHAnsi"/>
        </w:rPr>
      </w:pPr>
    </w:p>
    <w:p w14:paraId="03697645" w14:textId="51CC22E8" w:rsidR="00301C85" w:rsidRDefault="00301C85" w:rsidP="006C15DA">
      <w:pPr>
        <w:spacing w:line="360" w:lineRule="auto"/>
        <w:contextualSpacing/>
        <w:rPr>
          <w:rStyle w:val="eop"/>
          <w:rFonts w:asciiTheme="majorHAnsi" w:hAnsiTheme="majorHAnsi" w:cstheme="minorHAnsi"/>
        </w:rPr>
      </w:pPr>
    </w:p>
    <w:p w14:paraId="1F640336" w14:textId="77777777" w:rsidR="00301C85" w:rsidRPr="00EE05AA" w:rsidRDefault="00301C85" w:rsidP="006C15DA">
      <w:pPr>
        <w:spacing w:line="360" w:lineRule="auto"/>
        <w:contextualSpacing/>
        <w:rPr>
          <w:rFonts w:asciiTheme="majorHAnsi" w:hAnsiTheme="majorHAnsi" w:cstheme="minorHAnsi"/>
        </w:rPr>
      </w:pPr>
    </w:p>
    <w:p w14:paraId="683A743C"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lastRenderedPageBreak/>
        <w:t>Implications for practice</w:t>
      </w:r>
    </w:p>
    <w:p w14:paraId="258A02FB" w14:textId="77777777" w:rsidR="006C15DA" w:rsidRPr="00EE05AA" w:rsidRDefault="006C15DA" w:rsidP="0080697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Exploitation, in all forms, needs to be understood in terms of the dynamics, impacts and processes when designing practice interventions in order to establish trust and support changes to patterns of thinking and behaviour.</w:t>
      </w:r>
    </w:p>
    <w:p w14:paraId="3AA12137"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52840023" w14:textId="77777777" w:rsidR="006C15DA" w:rsidRPr="00EE05AA" w:rsidRDefault="006C15DA" w:rsidP="0080697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Contextualized and systemic approaches to understanding the challenges young men may face when seeking to move away from or change the behaviours that have secured their identity and / or status will be key.</w:t>
      </w:r>
    </w:p>
    <w:p w14:paraId="2D0631A8"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61ABC5EF" w14:textId="0A5C3C50" w:rsidR="006C15DA" w:rsidRPr="00EE05AA" w:rsidRDefault="006C15DA" w:rsidP="0080697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 xml:space="preserve">It is important to consider the accessibility and meaningfulness of services and processes designed to tackle adult offending </w:t>
      </w:r>
      <w:r w:rsidR="00301C85" w:rsidRPr="00EE05AA">
        <w:rPr>
          <w:rFonts w:asciiTheme="majorHAnsi" w:hAnsiTheme="majorHAnsi" w:cstheme="minorHAnsi"/>
        </w:rPr>
        <w:t>behaviour</w:t>
      </w:r>
      <w:r w:rsidRPr="00EE05AA">
        <w:rPr>
          <w:rFonts w:asciiTheme="majorHAnsi" w:hAnsiTheme="majorHAnsi" w:cstheme="minorHAnsi"/>
        </w:rPr>
        <w:t>, and the safety and relatability elements of these for young men.</w:t>
      </w:r>
    </w:p>
    <w:p w14:paraId="15D53BBE" w14:textId="77777777" w:rsidR="006C15DA" w:rsidRPr="00EE05AA" w:rsidRDefault="006C15DA" w:rsidP="006C15DA">
      <w:pPr>
        <w:spacing w:line="360" w:lineRule="auto"/>
        <w:contextualSpacing/>
        <w:rPr>
          <w:rFonts w:asciiTheme="majorHAnsi" w:hAnsiTheme="majorHAnsi" w:cstheme="minorHAnsi"/>
        </w:rPr>
      </w:pPr>
    </w:p>
    <w:p w14:paraId="30619A4D" w14:textId="77777777" w:rsidR="006C15DA" w:rsidRPr="00EE05AA" w:rsidRDefault="006C15DA" w:rsidP="006C15DA">
      <w:pPr>
        <w:spacing w:after="160" w:line="259" w:lineRule="auto"/>
        <w:rPr>
          <w:rFonts w:asciiTheme="majorHAnsi" w:hAnsiTheme="majorHAnsi" w:cstheme="minorHAnsi"/>
          <w:b/>
          <w:bCs/>
        </w:rPr>
      </w:pPr>
      <w:r w:rsidRPr="00EE05AA">
        <w:rPr>
          <w:rFonts w:asciiTheme="majorHAnsi" w:hAnsiTheme="majorHAnsi" w:cstheme="minorHAnsi"/>
          <w:b/>
          <w:bCs/>
        </w:rPr>
        <w:br w:type="page"/>
      </w:r>
    </w:p>
    <w:p w14:paraId="2B69513E" w14:textId="652E5CA8" w:rsidR="006C15DA" w:rsidRDefault="00D12387" w:rsidP="006C15DA">
      <w:pPr>
        <w:pStyle w:val="NormalWeb"/>
        <w:spacing w:line="360" w:lineRule="auto"/>
        <w:contextualSpacing/>
        <w:rPr>
          <w:rFonts w:asciiTheme="majorHAnsi" w:hAnsiTheme="majorHAnsi" w:cstheme="minorHAnsi"/>
          <w:b/>
          <w:bCs/>
          <w:sz w:val="22"/>
          <w:szCs w:val="22"/>
        </w:rPr>
      </w:pPr>
      <w:r>
        <w:rPr>
          <w:rFonts w:asciiTheme="majorHAnsi" w:hAnsiTheme="majorHAnsi" w:cstheme="minorHAnsi"/>
          <w:b/>
          <w:bCs/>
          <w:sz w:val="22"/>
          <w:szCs w:val="22"/>
        </w:rPr>
        <w:lastRenderedPageBreak/>
        <w:t>5</w:t>
      </w:r>
      <w:r w:rsidR="000414B2">
        <w:rPr>
          <w:rFonts w:asciiTheme="majorHAnsi" w:hAnsiTheme="majorHAnsi" w:cstheme="minorHAnsi"/>
          <w:b/>
          <w:bCs/>
          <w:sz w:val="22"/>
          <w:szCs w:val="22"/>
        </w:rPr>
        <w:t xml:space="preserve">.7 </w:t>
      </w:r>
      <w:r w:rsidR="006C15DA" w:rsidRPr="00EE05AA">
        <w:rPr>
          <w:rFonts w:asciiTheme="majorHAnsi" w:hAnsiTheme="majorHAnsi" w:cstheme="minorHAnsi"/>
          <w:b/>
          <w:bCs/>
          <w:sz w:val="22"/>
          <w:szCs w:val="22"/>
        </w:rPr>
        <w:t>Engagement and interventions</w:t>
      </w:r>
    </w:p>
    <w:p w14:paraId="2858EE0B" w14:textId="77777777" w:rsidR="007813F2" w:rsidRPr="00EE05AA" w:rsidRDefault="007813F2" w:rsidP="006C15DA">
      <w:pPr>
        <w:pStyle w:val="NormalWeb"/>
        <w:spacing w:line="360" w:lineRule="auto"/>
        <w:contextualSpacing/>
        <w:rPr>
          <w:rFonts w:asciiTheme="majorHAnsi" w:hAnsiTheme="majorHAnsi" w:cstheme="minorHAnsi"/>
          <w:b/>
          <w:bCs/>
          <w:sz w:val="22"/>
          <w:szCs w:val="22"/>
        </w:rPr>
      </w:pPr>
    </w:p>
    <w:p w14:paraId="025E8621"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Key Issues</w:t>
      </w:r>
    </w:p>
    <w:p w14:paraId="7F4C41DA"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rPr>
          <w:rFonts w:asciiTheme="majorHAnsi" w:hAnsiTheme="majorHAnsi" w:cstheme="minorHAnsi"/>
          <w:i/>
          <w:iCs/>
        </w:rPr>
      </w:pPr>
      <w:r w:rsidRPr="00EE05AA">
        <w:rPr>
          <w:rFonts w:asciiTheme="majorHAnsi" w:hAnsiTheme="majorHAnsi" w:cstheme="minorHAnsi"/>
          <w:i/>
          <w:iCs/>
        </w:rPr>
        <w:t>Value of sustained relationships</w:t>
      </w:r>
    </w:p>
    <w:p w14:paraId="2B874C4C"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rPr>
          <w:rFonts w:asciiTheme="majorHAnsi" w:hAnsiTheme="majorHAnsi" w:cstheme="minorHAnsi"/>
        </w:rPr>
      </w:pPr>
      <w:r w:rsidRPr="00EE05AA">
        <w:rPr>
          <w:rFonts w:asciiTheme="majorHAnsi" w:hAnsiTheme="majorHAnsi" w:cstheme="minorHAnsi"/>
        </w:rPr>
        <w:t>There was limited discussion or acknowledgment of specific models of intervention amongst those interviewed. However, a recognition that services that are more accessible to young men and are more likely to bring about sustained change and transformation, when based on positive regard and sustained trust and relationship building over time, were articulated both within the interviews conducted with services and those with young men.</w:t>
      </w:r>
    </w:p>
    <w:p w14:paraId="0086D30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rPr>
          <w:rFonts w:asciiTheme="majorHAnsi" w:hAnsiTheme="majorHAnsi" w:cstheme="minorHAnsi"/>
          <w:i/>
          <w:iCs/>
        </w:rPr>
      </w:pPr>
    </w:p>
    <w:p w14:paraId="4F59AD9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rPr>
          <w:rFonts w:asciiTheme="majorHAnsi" w:hAnsiTheme="majorHAnsi" w:cstheme="minorHAnsi"/>
          <w:i/>
          <w:iCs/>
        </w:rPr>
      </w:pPr>
      <w:r w:rsidRPr="00EE05AA">
        <w:rPr>
          <w:rFonts w:asciiTheme="majorHAnsi" w:hAnsiTheme="majorHAnsi" w:cstheme="minorHAnsi"/>
          <w:i/>
          <w:iCs/>
        </w:rPr>
        <w:t>Development for both holistic and focused responses</w:t>
      </w:r>
    </w:p>
    <w:p w14:paraId="3E649C92"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contextualSpacing/>
        <w:rPr>
          <w:rFonts w:asciiTheme="majorHAnsi" w:hAnsiTheme="majorHAnsi" w:cstheme="minorHAnsi"/>
        </w:rPr>
      </w:pPr>
      <w:r w:rsidRPr="00EE05AA">
        <w:rPr>
          <w:rFonts w:asciiTheme="majorHAnsi" w:hAnsiTheme="majorHAnsi" w:cstheme="minorHAnsi"/>
        </w:rPr>
        <w:t xml:space="preserve">A range of services are offered – some are more targeted whilst others are more holistic. Getting the balance between the two is crucial. It is important that service / provision is developed which is seen to be responsive to young men’s lived experiences, as well as services which are able to offer specialised support. One cannot exist without the other. </w:t>
      </w:r>
    </w:p>
    <w:p w14:paraId="34D76CE0" w14:textId="77777777" w:rsidR="006C15DA" w:rsidRPr="00EE05AA" w:rsidRDefault="006C15DA" w:rsidP="006C15DA">
      <w:pPr>
        <w:spacing w:line="360" w:lineRule="auto"/>
        <w:contextualSpacing/>
        <w:rPr>
          <w:rFonts w:asciiTheme="majorHAnsi" w:hAnsiTheme="majorHAnsi" w:cstheme="minorHAnsi"/>
          <w:i/>
          <w:iCs/>
        </w:rPr>
      </w:pPr>
    </w:p>
    <w:p w14:paraId="47788D10" w14:textId="2B24A6A7" w:rsidR="006C15DA" w:rsidRPr="00301C85" w:rsidRDefault="00D12387" w:rsidP="006C15DA">
      <w:pPr>
        <w:pStyle w:val="NormalWeb"/>
        <w:spacing w:line="360" w:lineRule="auto"/>
        <w:contextualSpacing/>
        <w:rPr>
          <w:rFonts w:asciiTheme="majorHAnsi" w:hAnsiTheme="majorHAnsi" w:cstheme="minorHAnsi"/>
          <w:i/>
          <w:iCs/>
        </w:rPr>
      </w:pPr>
      <w:r w:rsidRPr="00301C85">
        <w:rPr>
          <w:rFonts w:asciiTheme="majorHAnsi" w:hAnsiTheme="majorHAnsi" w:cstheme="minorHAnsi"/>
          <w:i/>
          <w:iCs/>
        </w:rPr>
        <w:t xml:space="preserve">5.7.1 </w:t>
      </w:r>
      <w:r w:rsidR="006C15DA" w:rsidRPr="00301C85">
        <w:rPr>
          <w:rFonts w:asciiTheme="majorHAnsi" w:hAnsiTheme="majorHAnsi" w:cstheme="minorHAnsi"/>
          <w:i/>
          <w:iCs/>
        </w:rPr>
        <w:t>Ways of engaging</w:t>
      </w:r>
    </w:p>
    <w:p w14:paraId="76C887C9"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Across the interviews with practitioners, some reference was given to specified approaches or models of intervention (one to one work, group work, family work, mentoring, “traditional youth work”, rites of passage training) but this is not consistent or extensive. Where such reference did occur, there was only little detail of evidence of adherence or fidelity to a particular model.  This may be an indication of more flexible, integrative models of working, or alternatively, a possible absence of more formalised or structured approaches to engagement and practice.</w:t>
      </w:r>
    </w:p>
    <w:p w14:paraId="060E1638" w14:textId="77777777" w:rsidR="006C15DA" w:rsidRPr="00301C85" w:rsidRDefault="006C15DA" w:rsidP="006C15DA">
      <w:pPr>
        <w:pStyle w:val="NormalWeb"/>
        <w:spacing w:line="360" w:lineRule="auto"/>
        <w:contextualSpacing/>
        <w:rPr>
          <w:rFonts w:asciiTheme="majorHAnsi" w:hAnsiTheme="majorHAnsi" w:cstheme="minorHAnsi"/>
        </w:rPr>
      </w:pPr>
    </w:p>
    <w:p w14:paraId="657720E8" w14:textId="571587C4" w:rsidR="006C15DA" w:rsidRPr="00301C85" w:rsidRDefault="006C15DA" w:rsidP="00252AFB">
      <w:pPr>
        <w:pStyle w:val="NormalWeb"/>
        <w:spacing w:line="360" w:lineRule="auto"/>
        <w:contextualSpacing/>
        <w:rPr>
          <w:rFonts w:asciiTheme="majorHAnsi" w:hAnsiTheme="majorHAnsi" w:cstheme="minorBidi"/>
        </w:rPr>
      </w:pPr>
      <w:r w:rsidRPr="00301C85">
        <w:rPr>
          <w:rFonts w:asciiTheme="majorHAnsi" w:hAnsiTheme="majorHAnsi" w:cstheme="minorBidi"/>
        </w:rPr>
        <w:t xml:space="preserve">What was evident though was the importance of trust between practitioners and young people being highly regarded and valued, including the process of building relationships with young </w:t>
      </w:r>
      <w:r w:rsidRPr="00301C85">
        <w:rPr>
          <w:rFonts w:asciiTheme="majorHAnsi" w:hAnsiTheme="majorHAnsi" w:cstheme="minorBidi"/>
        </w:rPr>
        <w:lastRenderedPageBreak/>
        <w:t>men on their terms. Reference was made to such processes by both practitioners whose roles permitted and / or focused on the development of such flexible, person centred, facilitative relationships and interventions (Heron, 2001), as well as those that did not. Reference was also given to the need for rapport and practitioners holding an emotionally ‘safe space’ for young men and engaging in physical spaces that are perceived by young men as non-threatening.</w:t>
      </w:r>
    </w:p>
    <w:p w14:paraId="263657D3" w14:textId="77777777" w:rsidR="006C15DA" w:rsidRPr="00301C85" w:rsidRDefault="006C15DA" w:rsidP="006C15DA">
      <w:pPr>
        <w:pStyle w:val="NormalWeb"/>
        <w:spacing w:line="360" w:lineRule="auto"/>
        <w:contextualSpacing/>
        <w:rPr>
          <w:rFonts w:asciiTheme="majorHAnsi" w:hAnsiTheme="majorHAnsi" w:cstheme="minorHAnsi"/>
        </w:rPr>
      </w:pPr>
    </w:p>
    <w:p w14:paraId="0DD3F094"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For the young men, the recognition that relationships developed over time was important:</w:t>
      </w:r>
    </w:p>
    <w:p w14:paraId="16C116B7"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08911FC2" w14:textId="3BB2FF0A"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 xml:space="preserve">If you’ve got a bond with someone that you feel comfortable talking to, when someone new comes in and you don’t know them, you feel really </w:t>
      </w:r>
      <w:r w:rsidR="00301C85" w:rsidRPr="00301C85">
        <w:rPr>
          <w:rFonts w:asciiTheme="majorHAnsi" w:hAnsiTheme="majorHAnsi" w:cstheme="minorHAnsi"/>
          <w:i/>
          <w:iCs/>
        </w:rPr>
        <w:t>shy,</w:t>
      </w:r>
      <w:r w:rsidRPr="00301C85">
        <w:rPr>
          <w:rFonts w:asciiTheme="majorHAnsi" w:hAnsiTheme="majorHAnsi" w:cstheme="minorHAnsi"/>
          <w:i/>
          <w:iCs/>
        </w:rPr>
        <w:t xml:space="preserve"> and you don’t want to talk with them.  That happened with me a few times</w:t>
      </w:r>
      <w:r w:rsidR="00E257BB" w:rsidRPr="00301C85">
        <w:rPr>
          <w:rFonts w:asciiTheme="majorHAnsi" w:hAnsiTheme="majorHAnsi" w:cstheme="minorHAnsi"/>
          <w:i/>
          <w:iCs/>
        </w:rPr>
        <w:t>.</w:t>
      </w:r>
      <w:r w:rsidRPr="00301C85">
        <w:rPr>
          <w:rFonts w:asciiTheme="majorHAnsi" w:hAnsiTheme="majorHAnsi" w:cstheme="minorHAnsi"/>
          <w:i/>
          <w:iCs/>
        </w:rPr>
        <w:t xml:space="preserve"> </w:t>
      </w:r>
    </w:p>
    <w:p w14:paraId="427C0E92" w14:textId="77777777" w:rsidR="006C15DA" w:rsidRPr="00301C85" w:rsidRDefault="006C15DA" w:rsidP="006C15DA">
      <w:pPr>
        <w:pStyle w:val="NormalWeb"/>
        <w:spacing w:line="360" w:lineRule="auto"/>
        <w:contextualSpacing/>
        <w:rPr>
          <w:rFonts w:asciiTheme="majorHAnsi" w:hAnsiTheme="majorHAnsi" w:cstheme="minorHAnsi"/>
        </w:rPr>
      </w:pPr>
    </w:p>
    <w:p w14:paraId="2C47E09D"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Where that trust and continuity of relationship was established and maintained, young men were clearly appreciative and were able to articulate both the process of working and the impact of this on their lives:</w:t>
      </w:r>
    </w:p>
    <w:p w14:paraId="5C80BE40"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520F8793" w14:textId="1A1B7C21"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I think it is kind of down to the person you’re talking to. But because you know like when you’re having these meetings it’s like completely confidential, he can say whatever he wants, I can say whatever I want, you know, it’s like a safe space and I really liked that element</w:t>
      </w:r>
      <w:r w:rsidR="00E257BB" w:rsidRPr="00301C85">
        <w:rPr>
          <w:rFonts w:asciiTheme="majorHAnsi" w:hAnsiTheme="majorHAnsi" w:cstheme="minorHAnsi"/>
          <w:i/>
          <w:iCs/>
        </w:rPr>
        <w:t>.</w:t>
      </w:r>
      <w:r w:rsidRPr="00301C85">
        <w:rPr>
          <w:rFonts w:asciiTheme="majorHAnsi" w:hAnsiTheme="majorHAnsi" w:cstheme="minorHAnsi"/>
        </w:rPr>
        <w:t xml:space="preserve"> </w:t>
      </w:r>
    </w:p>
    <w:p w14:paraId="38D0E294" w14:textId="77777777" w:rsidR="006C15DA" w:rsidRPr="00301C85" w:rsidRDefault="006C15DA" w:rsidP="006C15DA">
      <w:pPr>
        <w:pStyle w:val="NormalWeb"/>
        <w:spacing w:line="360" w:lineRule="auto"/>
        <w:contextualSpacing/>
        <w:rPr>
          <w:rFonts w:asciiTheme="majorHAnsi" w:hAnsiTheme="majorHAnsi" w:cstheme="minorHAnsi"/>
        </w:rPr>
      </w:pPr>
    </w:p>
    <w:p w14:paraId="409108E1" w14:textId="7BA04B66"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 xml:space="preserve">She helped me so much, I honestly don’t know how she done it but she helped me so much get off everything that I was doing ... (she) would just sit there with me, talk to me, help me out, if I ever wanted to take anything like </w:t>
      </w:r>
      <w:proofErr w:type="gramStart"/>
      <w:r w:rsidRPr="00301C85">
        <w:rPr>
          <w:rFonts w:asciiTheme="majorHAnsi" w:hAnsiTheme="majorHAnsi" w:cstheme="minorHAnsi"/>
          <w:i/>
          <w:iCs/>
        </w:rPr>
        <w:t>that</w:t>
      </w:r>
      <w:proofErr w:type="gramEnd"/>
      <w:r w:rsidRPr="00301C85">
        <w:rPr>
          <w:rFonts w:asciiTheme="majorHAnsi" w:hAnsiTheme="majorHAnsi" w:cstheme="minorHAnsi"/>
          <w:i/>
          <w:iCs/>
        </w:rPr>
        <w:t xml:space="preserve"> she’d try stop me as much as she could. Sometimes she just couldn’t but it was like she was just there like to help me, and that’s what I think for her for, like I probably wouldn’t be here today without her</w:t>
      </w:r>
      <w:r w:rsidR="00E257BB" w:rsidRPr="00301C85">
        <w:rPr>
          <w:rFonts w:asciiTheme="majorHAnsi" w:hAnsiTheme="majorHAnsi" w:cstheme="minorHAnsi"/>
          <w:i/>
          <w:iCs/>
        </w:rPr>
        <w:t>.</w:t>
      </w:r>
      <w:r w:rsidRPr="00301C85">
        <w:rPr>
          <w:rFonts w:asciiTheme="majorHAnsi" w:hAnsiTheme="majorHAnsi" w:cstheme="minorHAnsi"/>
          <w:i/>
          <w:iCs/>
        </w:rPr>
        <w:t xml:space="preserve"> </w:t>
      </w:r>
    </w:p>
    <w:p w14:paraId="170E73A9" w14:textId="77777777" w:rsidR="006C15DA" w:rsidRPr="00301C85" w:rsidRDefault="006C15DA" w:rsidP="006C15DA">
      <w:pPr>
        <w:pStyle w:val="NormalWeb"/>
        <w:spacing w:line="360" w:lineRule="auto"/>
        <w:contextualSpacing/>
        <w:rPr>
          <w:rFonts w:asciiTheme="majorHAnsi" w:hAnsiTheme="majorHAnsi" w:cstheme="minorHAnsi"/>
        </w:rPr>
      </w:pPr>
    </w:p>
    <w:p w14:paraId="2077DEA8" w14:textId="3CE9486A"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lastRenderedPageBreak/>
        <w:t>They don’t make everything like so set in stone, like, “We have to get this done today”, they kind of let it be led by what I want to talk about that day, and if I want to talk about certain stuff, [name], especially, will listen. If I’m asking questions about different stuff, he’ll listen and then think about it and then speak instead of just him putting it forward, “Oh, yeah, we’re going to talk about this today, then this, then this”</w:t>
      </w:r>
      <w:r w:rsidR="00E257BB" w:rsidRPr="00301C85">
        <w:rPr>
          <w:rFonts w:asciiTheme="majorHAnsi" w:hAnsiTheme="majorHAnsi" w:cstheme="minorHAnsi"/>
          <w:i/>
          <w:iCs/>
        </w:rPr>
        <w:t>.</w:t>
      </w:r>
      <w:r w:rsidRPr="00301C85">
        <w:rPr>
          <w:rFonts w:asciiTheme="majorHAnsi" w:hAnsiTheme="majorHAnsi" w:cstheme="minorHAnsi"/>
        </w:rPr>
        <w:t xml:space="preserve"> </w:t>
      </w:r>
    </w:p>
    <w:p w14:paraId="31A598B7" w14:textId="77777777" w:rsidR="006C15DA" w:rsidRPr="00301C85" w:rsidRDefault="006C15DA" w:rsidP="006C15DA">
      <w:pPr>
        <w:pStyle w:val="NormalWeb"/>
        <w:spacing w:line="360" w:lineRule="auto"/>
        <w:contextualSpacing/>
        <w:rPr>
          <w:rFonts w:asciiTheme="majorHAnsi" w:hAnsiTheme="majorHAnsi" w:cstheme="minorHAnsi"/>
        </w:rPr>
      </w:pPr>
    </w:p>
    <w:p w14:paraId="38E07B79" w14:textId="67D11502"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If it wasn't for [name], I would have been, I definitely wouldn't have been doing this phone call right now, I was completely disconnected, I didn't want anything to do with the human race type thing; I very much did cut myself off so it wasn't until I got and found [name] that they actually showed me that there's a lot more to life than just bottling it all up and just trying to keep it all to yourself</w:t>
      </w:r>
      <w:r w:rsidR="00E257BB" w:rsidRPr="00301C85">
        <w:rPr>
          <w:rFonts w:asciiTheme="majorHAnsi" w:hAnsiTheme="majorHAnsi" w:cstheme="minorHAnsi"/>
        </w:rPr>
        <w:t>.</w:t>
      </w:r>
    </w:p>
    <w:p w14:paraId="16EDA661" w14:textId="77777777" w:rsidR="006C15DA" w:rsidRPr="00301C85" w:rsidRDefault="006C15DA" w:rsidP="006C15DA">
      <w:pPr>
        <w:pStyle w:val="NormalWeb"/>
        <w:spacing w:line="360" w:lineRule="auto"/>
        <w:contextualSpacing/>
        <w:rPr>
          <w:rFonts w:asciiTheme="majorHAnsi" w:hAnsiTheme="majorHAnsi" w:cstheme="minorHAnsi"/>
        </w:rPr>
      </w:pPr>
    </w:p>
    <w:p w14:paraId="36148D6A"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When asked by the interviewer what made for a positive relationship with practitioners, one young man was clear in his response:</w:t>
      </w:r>
    </w:p>
    <w:p w14:paraId="4D81DB7F"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09CE75A0" w14:textId="4023CE01" w:rsidR="006C15DA" w:rsidRPr="00301C85" w:rsidRDefault="006C15DA" w:rsidP="006C15DA">
      <w:pPr>
        <w:pStyle w:val="NormalWeb"/>
        <w:spacing w:line="360" w:lineRule="auto"/>
        <w:ind w:left="709"/>
        <w:contextualSpacing/>
        <w:rPr>
          <w:rFonts w:asciiTheme="majorHAnsi" w:hAnsiTheme="majorHAnsi" w:cstheme="minorHAnsi"/>
          <w:i/>
          <w:iCs/>
        </w:rPr>
      </w:pPr>
      <w:r w:rsidRPr="00301C85">
        <w:rPr>
          <w:rFonts w:asciiTheme="majorHAnsi" w:hAnsiTheme="majorHAnsi" w:cstheme="minorHAnsi"/>
          <w:i/>
          <w:iCs/>
        </w:rPr>
        <w:t>The people knowing what they’re doing, talking to you on a personal level, understanding, understanding, not having their own personal opinions, keeping it professional. And just, yeah, just talking to you like a person instead of like a number</w:t>
      </w:r>
      <w:r w:rsidR="00E257BB" w:rsidRPr="00301C85">
        <w:rPr>
          <w:rFonts w:asciiTheme="majorHAnsi" w:hAnsiTheme="majorHAnsi" w:cstheme="minorHAnsi"/>
          <w:i/>
          <w:iCs/>
        </w:rPr>
        <w:t>.</w:t>
      </w:r>
    </w:p>
    <w:p w14:paraId="50833079" w14:textId="77777777" w:rsidR="006C15DA" w:rsidRPr="00301C85" w:rsidRDefault="006C15DA" w:rsidP="006C15DA">
      <w:pPr>
        <w:pStyle w:val="NormalWeb"/>
        <w:spacing w:line="360" w:lineRule="auto"/>
        <w:contextualSpacing/>
        <w:rPr>
          <w:rFonts w:asciiTheme="majorHAnsi" w:hAnsiTheme="majorHAnsi" w:cstheme="minorHAnsi"/>
        </w:rPr>
      </w:pPr>
    </w:p>
    <w:p w14:paraId="53E77862"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 xml:space="preserve">This </w:t>
      </w:r>
      <w:r w:rsidRPr="00301C85">
        <w:rPr>
          <w:rFonts w:asciiTheme="majorHAnsi" w:hAnsiTheme="majorHAnsi" w:cstheme="minorHAnsi"/>
          <w:i/>
          <w:iCs/>
        </w:rPr>
        <w:t>unconditional regard</w:t>
      </w:r>
      <w:r w:rsidRPr="00301C85">
        <w:rPr>
          <w:rFonts w:asciiTheme="majorHAnsi" w:hAnsiTheme="majorHAnsi" w:cstheme="minorHAnsi"/>
        </w:rPr>
        <w:t xml:space="preserve"> (Rogers, 1961) for young men was highlighted by several practitioners:</w:t>
      </w:r>
    </w:p>
    <w:p w14:paraId="72022D0D" w14:textId="77777777" w:rsidR="006C15DA" w:rsidRPr="00301C85" w:rsidRDefault="006C15DA" w:rsidP="006C15DA">
      <w:pPr>
        <w:pStyle w:val="NormalWeb"/>
        <w:spacing w:line="360" w:lineRule="auto"/>
        <w:ind w:firstLine="709"/>
        <w:contextualSpacing/>
        <w:rPr>
          <w:rFonts w:asciiTheme="majorHAnsi" w:hAnsiTheme="majorHAnsi" w:cstheme="minorHAnsi"/>
        </w:rPr>
      </w:pPr>
    </w:p>
    <w:p w14:paraId="588749AD" w14:textId="575AC1FE" w:rsidR="006C15DA" w:rsidRPr="00301C85" w:rsidRDefault="006C15DA" w:rsidP="006C15DA">
      <w:pPr>
        <w:pStyle w:val="Normal1"/>
        <w:spacing w:line="360" w:lineRule="auto"/>
        <w:ind w:left="720"/>
        <w:contextualSpacing/>
        <w:rPr>
          <w:rFonts w:asciiTheme="majorHAnsi" w:hAnsiTheme="majorHAnsi" w:cstheme="minorHAnsi"/>
          <w:i/>
          <w:iCs/>
        </w:rPr>
      </w:pPr>
      <w:r w:rsidRPr="00301C85">
        <w:rPr>
          <w:rFonts w:asciiTheme="majorHAnsi" w:hAnsiTheme="majorHAnsi" w:cstheme="minorHAnsi"/>
          <w:i/>
          <w:color w:val="000000" w:themeColor="text1"/>
        </w:rPr>
        <w:t xml:space="preserve">Whatever’s happened in the past, well, you know, that’s the past and if they want to talk about it or if we need to do stuff about it that’s fine but when they’re [here] that’s that. They’re in the moment . . . </w:t>
      </w:r>
      <w:r w:rsidRPr="00301C85">
        <w:rPr>
          <w:rFonts w:asciiTheme="majorHAnsi" w:hAnsiTheme="majorHAnsi" w:cstheme="minorHAnsi"/>
          <w:i/>
          <w:iCs/>
          <w:color w:val="000000" w:themeColor="text1"/>
        </w:rPr>
        <w:t>allowing these young men actually to be..., well to be their ‘best selves’</w:t>
      </w:r>
      <w:r w:rsidR="00E257BB" w:rsidRPr="00301C85">
        <w:rPr>
          <w:rFonts w:asciiTheme="majorHAnsi" w:hAnsiTheme="majorHAnsi" w:cstheme="minorHAnsi"/>
          <w:i/>
          <w:iCs/>
          <w:color w:val="000000" w:themeColor="text1"/>
        </w:rPr>
        <w:t>.</w:t>
      </w:r>
    </w:p>
    <w:p w14:paraId="592258B9" w14:textId="77777777" w:rsidR="006C15DA" w:rsidRPr="00301C85" w:rsidRDefault="006C15DA" w:rsidP="006C15DA">
      <w:pPr>
        <w:pStyle w:val="Normal1"/>
        <w:spacing w:line="360" w:lineRule="auto"/>
        <w:contextualSpacing/>
        <w:rPr>
          <w:rFonts w:asciiTheme="majorHAnsi" w:hAnsiTheme="majorHAnsi" w:cstheme="minorHAnsi"/>
        </w:rPr>
      </w:pPr>
    </w:p>
    <w:p w14:paraId="15B29A1C"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lastRenderedPageBreak/>
        <w:t>And from another practitioner:</w:t>
      </w:r>
    </w:p>
    <w:p w14:paraId="7FCEE308" w14:textId="77777777" w:rsidR="006C15DA" w:rsidRPr="00301C85" w:rsidRDefault="006C15DA" w:rsidP="006C15DA">
      <w:pPr>
        <w:pStyle w:val="NormalWeb"/>
        <w:spacing w:line="360" w:lineRule="auto"/>
        <w:contextualSpacing/>
        <w:rPr>
          <w:rFonts w:asciiTheme="majorHAnsi" w:hAnsiTheme="majorHAnsi" w:cstheme="minorHAnsi"/>
        </w:rPr>
      </w:pPr>
    </w:p>
    <w:p w14:paraId="3EE8B952" w14:textId="7ED1F52E"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color w:val="000000" w:themeColor="text1"/>
        </w:rPr>
        <w:t>We set out to create a place for young men to explore who they were, who they were becoming</w:t>
      </w:r>
      <w:r w:rsidR="00E257BB" w:rsidRPr="00301C85">
        <w:rPr>
          <w:rFonts w:asciiTheme="majorHAnsi" w:hAnsiTheme="majorHAnsi" w:cstheme="minorHAnsi"/>
          <w:i/>
          <w:iCs/>
          <w:color w:val="000000" w:themeColor="text1"/>
        </w:rPr>
        <w:t>.</w:t>
      </w:r>
    </w:p>
    <w:p w14:paraId="011A4BBF" w14:textId="77777777" w:rsidR="006C15DA" w:rsidRPr="00301C85" w:rsidRDefault="006C15DA" w:rsidP="006C15DA">
      <w:pPr>
        <w:pStyle w:val="NormalWeb"/>
        <w:spacing w:line="360" w:lineRule="auto"/>
        <w:contextualSpacing/>
        <w:rPr>
          <w:rFonts w:asciiTheme="majorHAnsi" w:hAnsiTheme="majorHAnsi" w:cstheme="minorHAnsi"/>
        </w:rPr>
      </w:pPr>
    </w:p>
    <w:p w14:paraId="68D88067" w14:textId="20183D90" w:rsidR="006C15DA" w:rsidRPr="00301C85" w:rsidRDefault="00D12387" w:rsidP="006C15DA">
      <w:pPr>
        <w:pStyle w:val="NormalWeb"/>
        <w:spacing w:line="360" w:lineRule="auto"/>
        <w:contextualSpacing/>
        <w:rPr>
          <w:rFonts w:asciiTheme="majorHAnsi" w:hAnsiTheme="majorHAnsi" w:cstheme="minorHAnsi"/>
          <w:i/>
          <w:iCs/>
        </w:rPr>
      </w:pPr>
      <w:r w:rsidRPr="00301C85">
        <w:rPr>
          <w:rFonts w:asciiTheme="majorHAnsi" w:hAnsiTheme="majorHAnsi" w:cstheme="minorHAnsi"/>
          <w:i/>
          <w:iCs/>
        </w:rPr>
        <w:t xml:space="preserve">5.7.2 </w:t>
      </w:r>
      <w:r w:rsidR="006C15DA" w:rsidRPr="00301C85">
        <w:rPr>
          <w:rFonts w:asciiTheme="majorHAnsi" w:hAnsiTheme="majorHAnsi" w:cstheme="minorHAnsi"/>
          <w:i/>
          <w:iCs/>
        </w:rPr>
        <w:t>Flexibility of engagement</w:t>
      </w:r>
    </w:p>
    <w:p w14:paraId="54C2DB17"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This was extended further in relation to the sometimes time-limited nature of work with young men:</w:t>
      </w:r>
    </w:p>
    <w:p w14:paraId="525BE755" w14:textId="39267102" w:rsidR="006C15DA" w:rsidRPr="00301C85" w:rsidRDefault="006C15DA" w:rsidP="006C15DA">
      <w:pPr>
        <w:pStyle w:val="Caption1"/>
        <w:spacing w:after="0" w:line="360" w:lineRule="auto"/>
        <w:ind w:left="709"/>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I like to work in a way where there’s no kind of, there’s no end point once they start working with us. The support’s there continually, so for as long as they need it to be</w:t>
      </w:r>
      <w:r w:rsidR="00E257BB" w:rsidRPr="00301C85">
        <w:rPr>
          <w:rFonts w:asciiTheme="majorHAnsi" w:hAnsiTheme="majorHAnsi" w:cstheme="minorHAnsi"/>
          <w:color w:val="000000" w:themeColor="text1"/>
          <w:sz w:val="24"/>
        </w:rPr>
        <w:t>.</w:t>
      </w:r>
    </w:p>
    <w:p w14:paraId="2AC689E3" w14:textId="77777777" w:rsidR="006C15DA" w:rsidRPr="00301C85" w:rsidRDefault="006C15DA" w:rsidP="006C15DA">
      <w:pPr>
        <w:pStyle w:val="NormalWeb"/>
        <w:spacing w:line="360" w:lineRule="auto"/>
        <w:contextualSpacing/>
        <w:rPr>
          <w:rFonts w:asciiTheme="majorHAnsi" w:hAnsiTheme="majorHAnsi" w:cstheme="minorHAnsi"/>
        </w:rPr>
      </w:pPr>
    </w:p>
    <w:p w14:paraId="1DA4936C"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 xml:space="preserve">This flexibility of engagement (e.g., meeting with young men and / or being available beyond “‘office hours”), and approaches which support agency and autonomy, including the issue of choice by young men to engage with practitioners, may be beyond some services. Such practices / provision though </w:t>
      </w:r>
      <w:proofErr w:type="gramStart"/>
      <w:r w:rsidRPr="00301C85">
        <w:rPr>
          <w:rFonts w:asciiTheme="majorHAnsi" w:hAnsiTheme="majorHAnsi" w:cstheme="minorHAnsi"/>
        </w:rPr>
        <w:t>were</w:t>
      </w:r>
      <w:proofErr w:type="gramEnd"/>
      <w:r w:rsidRPr="00301C85">
        <w:rPr>
          <w:rFonts w:asciiTheme="majorHAnsi" w:hAnsiTheme="majorHAnsi" w:cstheme="minorHAnsi"/>
        </w:rPr>
        <w:t xml:space="preserve"> clearly regarded as important and effective by young men:</w:t>
      </w:r>
    </w:p>
    <w:p w14:paraId="4DB8546D" w14:textId="77777777" w:rsidR="006C15DA" w:rsidRPr="00301C85" w:rsidRDefault="006C15DA" w:rsidP="006C15DA">
      <w:pPr>
        <w:pStyle w:val="NormalWeb"/>
        <w:spacing w:line="360" w:lineRule="auto"/>
        <w:contextualSpacing/>
        <w:rPr>
          <w:rFonts w:asciiTheme="majorHAnsi" w:hAnsiTheme="majorHAnsi" w:cstheme="minorHAnsi"/>
        </w:rPr>
      </w:pPr>
    </w:p>
    <w:p w14:paraId="338BAA4C" w14:textId="20565A16" w:rsidR="006C15DA" w:rsidRPr="00301C85" w:rsidRDefault="006C15DA" w:rsidP="006C15DA">
      <w:pPr>
        <w:pStyle w:val="NormalWeb"/>
        <w:spacing w:line="360" w:lineRule="auto"/>
        <w:ind w:left="709"/>
        <w:contextualSpacing/>
        <w:rPr>
          <w:rFonts w:asciiTheme="majorHAnsi" w:hAnsiTheme="majorHAnsi" w:cstheme="minorHAnsi"/>
        </w:rPr>
      </w:pPr>
      <w:r w:rsidRPr="00301C85">
        <w:rPr>
          <w:rFonts w:asciiTheme="majorHAnsi" w:hAnsiTheme="majorHAnsi" w:cstheme="minorHAnsi"/>
          <w:i/>
          <w:iCs/>
        </w:rPr>
        <w:t>It’s just kind of led by me instead of led by what they want to do . . .  like while we’ve been in lockdown [name] has even taken the time to call me a couple of times and have conversations with me and make sure that I’m doing okay through lockdown, which I didn’t think was going to happen</w:t>
      </w:r>
      <w:r w:rsidR="00E257BB" w:rsidRPr="00301C85">
        <w:rPr>
          <w:rFonts w:asciiTheme="majorHAnsi" w:hAnsiTheme="majorHAnsi" w:cstheme="minorHAnsi"/>
          <w:i/>
          <w:iCs/>
        </w:rPr>
        <w:t>.</w:t>
      </w:r>
      <w:r w:rsidRPr="00301C85">
        <w:rPr>
          <w:rFonts w:asciiTheme="majorHAnsi" w:hAnsiTheme="majorHAnsi" w:cstheme="minorHAnsi"/>
        </w:rPr>
        <w:t xml:space="preserve"> </w:t>
      </w:r>
    </w:p>
    <w:p w14:paraId="1010F124" w14:textId="77777777" w:rsidR="006C15DA" w:rsidRPr="00301C85" w:rsidRDefault="006C15DA" w:rsidP="006C15DA">
      <w:pPr>
        <w:pStyle w:val="NormalWeb"/>
        <w:spacing w:line="360" w:lineRule="auto"/>
        <w:contextualSpacing/>
        <w:rPr>
          <w:rFonts w:asciiTheme="majorHAnsi" w:hAnsiTheme="majorHAnsi" w:cstheme="minorHAnsi"/>
        </w:rPr>
      </w:pPr>
    </w:p>
    <w:p w14:paraId="74FFA926"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The young men were also able to articulate where relationships and ways of working with practitioners were less that satisfactory:</w:t>
      </w:r>
    </w:p>
    <w:p w14:paraId="0F09040E"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67ED3A44" w14:textId="46CE7500"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 xml:space="preserve">A lot of people, came and went there. </w:t>
      </w:r>
      <w:proofErr w:type="gramStart"/>
      <w:r w:rsidRPr="00301C85">
        <w:rPr>
          <w:rFonts w:asciiTheme="majorHAnsi" w:hAnsiTheme="majorHAnsi" w:cstheme="minorHAnsi"/>
          <w:i/>
          <w:iCs/>
        </w:rPr>
        <w:t>So</w:t>
      </w:r>
      <w:proofErr w:type="gramEnd"/>
      <w:r w:rsidRPr="00301C85">
        <w:rPr>
          <w:rFonts w:asciiTheme="majorHAnsi" w:hAnsiTheme="majorHAnsi" w:cstheme="minorHAnsi"/>
          <w:i/>
          <w:iCs/>
        </w:rPr>
        <w:t xml:space="preserve"> you’d get close to someone, you’d book appointments with them, you’d talk to them, and they’d say, “I’ll see you next week”, and then they just don’t show up again</w:t>
      </w:r>
      <w:r w:rsidR="00E257BB" w:rsidRPr="00301C85">
        <w:rPr>
          <w:rFonts w:asciiTheme="majorHAnsi" w:hAnsiTheme="majorHAnsi" w:cstheme="minorHAnsi"/>
          <w:i/>
          <w:iCs/>
        </w:rPr>
        <w:t>.</w:t>
      </w:r>
      <w:r w:rsidRPr="00301C85">
        <w:rPr>
          <w:rFonts w:asciiTheme="majorHAnsi" w:hAnsiTheme="majorHAnsi" w:cstheme="minorHAnsi"/>
        </w:rPr>
        <w:t xml:space="preserve"> </w:t>
      </w:r>
    </w:p>
    <w:p w14:paraId="12E130DA" w14:textId="77777777" w:rsidR="006C15DA" w:rsidRPr="00301C85" w:rsidRDefault="006C15DA" w:rsidP="006C15DA">
      <w:pPr>
        <w:pStyle w:val="NormalWeb"/>
        <w:spacing w:line="360" w:lineRule="auto"/>
        <w:contextualSpacing/>
        <w:rPr>
          <w:rFonts w:asciiTheme="majorHAnsi" w:hAnsiTheme="majorHAnsi" w:cstheme="minorHAnsi"/>
        </w:rPr>
      </w:pPr>
    </w:p>
    <w:p w14:paraId="641BCF1E" w14:textId="3A695B4E"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It just felt like no one, no one gave a shit, it was just like it was the punishment and that’s it, you go here, you do your blah, blah, blah, but no one says like oh, “why did that happen then, is there anything you want to talk about?”, it was just like “oh yeah, you did this you know, what happened that night” ... it just didn’t feel like there was any real you know, personal development to be had, there was no, you know I wasn’t talking about anything you know, they were quite happy to you know, tick some boxes and move me on</w:t>
      </w:r>
      <w:r w:rsidR="00E257BB" w:rsidRPr="00301C85">
        <w:rPr>
          <w:rFonts w:asciiTheme="majorHAnsi" w:hAnsiTheme="majorHAnsi" w:cstheme="minorHAnsi"/>
        </w:rPr>
        <w:t>.</w:t>
      </w:r>
    </w:p>
    <w:p w14:paraId="19E5AD62" w14:textId="77777777" w:rsidR="006C15DA" w:rsidRPr="00301C85" w:rsidRDefault="006C15DA" w:rsidP="006C15DA">
      <w:pPr>
        <w:pStyle w:val="NormalWeb"/>
        <w:spacing w:line="360" w:lineRule="auto"/>
        <w:contextualSpacing/>
        <w:rPr>
          <w:rFonts w:asciiTheme="majorHAnsi" w:hAnsiTheme="majorHAnsi" w:cstheme="minorHAnsi"/>
        </w:rPr>
      </w:pPr>
    </w:p>
    <w:p w14:paraId="1B394944" w14:textId="21FF3DE9"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I remember trying to do therapy and stuff when I was a lot younger, and I couldn</w:t>
      </w:r>
      <w:r w:rsidR="00E257BB" w:rsidRPr="00301C85">
        <w:rPr>
          <w:rFonts w:asciiTheme="majorHAnsi" w:hAnsiTheme="majorHAnsi" w:cstheme="minorHAnsi"/>
          <w:i/>
          <w:iCs/>
        </w:rPr>
        <w:t>’</w:t>
      </w:r>
      <w:r w:rsidRPr="00301C85">
        <w:rPr>
          <w:rFonts w:asciiTheme="majorHAnsi" w:hAnsiTheme="majorHAnsi" w:cstheme="minorHAnsi"/>
          <w:i/>
          <w:iCs/>
        </w:rPr>
        <w:t>t, I just couldn</w:t>
      </w:r>
      <w:r w:rsidR="00E257BB" w:rsidRPr="00301C85">
        <w:rPr>
          <w:rFonts w:asciiTheme="majorHAnsi" w:hAnsiTheme="majorHAnsi" w:cstheme="minorHAnsi"/>
          <w:i/>
          <w:iCs/>
        </w:rPr>
        <w:t>’</w:t>
      </w:r>
      <w:r w:rsidRPr="00301C85">
        <w:rPr>
          <w:rFonts w:asciiTheme="majorHAnsi" w:hAnsiTheme="majorHAnsi" w:cstheme="minorHAnsi"/>
          <w:i/>
          <w:iCs/>
        </w:rPr>
        <w:t>t do it, it was, it was one person telling me, talking to me about how my life was</w:t>
      </w:r>
      <w:r w:rsidR="00E257BB" w:rsidRPr="00301C85">
        <w:rPr>
          <w:rFonts w:asciiTheme="majorHAnsi" w:hAnsiTheme="majorHAnsi" w:cstheme="minorHAnsi"/>
          <w:i/>
          <w:iCs/>
        </w:rPr>
        <w:t>.</w:t>
      </w:r>
      <w:r w:rsidRPr="00301C85">
        <w:rPr>
          <w:rFonts w:asciiTheme="majorHAnsi" w:hAnsiTheme="majorHAnsi" w:cstheme="minorHAnsi"/>
        </w:rPr>
        <w:t xml:space="preserve"> </w:t>
      </w:r>
    </w:p>
    <w:p w14:paraId="7FBC862C" w14:textId="77777777" w:rsidR="006C15DA" w:rsidRPr="00301C85" w:rsidRDefault="006C15DA" w:rsidP="006C15DA">
      <w:pPr>
        <w:pStyle w:val="NormalWeb"/>
        <w:spacing w:line="360" w:lineRule="auto"/>
        <w:ind w:left="720"/>
        <w:contextualSpacing/>
        <w:rPr>
          <w:rFonts w:asciiTheme="majorHAnsi" w:hAnsiTheme="majorHAnsi" w:cstheme="minorHAnsi"/>
        </w:rPr>
      </w:pPr>
    </w:p>
    <w:p w14:paraId="7E744955"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These comments point to a desire or need to be recognised and validated on their terms, and indicate that some approaches, which of course may be regarded as being ‘professional’ by services and practitioners, are not always experienced as being authentic or accessible perhaps, at a relational level. The difficulty some young men have with engaging in more formalised therapeutic provision was echoed by one of the practitioners interviewed:</w:t>
      </w:r>
    </w:p>
    <w:p w14:paraId="4E2E2BC1" w14:textId="77777777" w:rsidR="006C15DA" w:rsidRPr="00301C85" w:rsidRDefault="006C15DA" w:rsidP="006C15DA">
      <w:pPr>
        <w:pStyle w:val="NormalWeb"/>
        <w:spacing w:line="360" w:lineRule="auto"/>
        <w:contextualSpacing/>
        <w:rPr>
          <w:rFonts w:asciiTheme="majorHAnsi" w:hAnsiTheme="majorHAnsi" w:cstheme="minorHAnsi"/>
        </w:rPr>
      </w:pPr>
    </w:p>
    <w:p w14:paraId="5C5157EA" w14:textId="78A06A8F" w:rsidR="006C15DA" w:rsidRPr="00301C85" w:rsidRDefault="006C15DA" w:rsidP="006C15DA">
      <w:pPr>
        <w:pStyle w:val="NormalWeb"/>
        <w:spacing w:line="360" w:lineRule="auto"/>
        <w:ind w:left="720"/>
        <w:contextualSpacing/>
        <w:rPr>
          <w:rFonts w:asciiTheme="majorHAnsi" w:hAnsiTheme="majorHAnsi" w:cstheme="minorHAnsi"/>
          <w:i/>
          <w:iCs/>
          <w:color w:val="000000" w:themeColor="text1"/>
        </w:rPr>
      </w:pPr>
      <w:r w:rsidRPr="00301C85">
        <w:rPr>
          <w:rFonts w:asciiTheme="majorHAnsi" w:hAnsiTheme="majorHAnsi" w:cstheme="minorHAnsi"/>
          <w:i/>
          <w:iCs/>
          <w:color w:val="000000" w:themeColor="text1"/>
        </w:rPr>
        <w:t>A lot of them have had counselling before and utterly, I mean often they feel counselling is just horrible, that sitting in a silent room with someone staring at you, they just, it’s, they find it overwhelming</w:t>
      </w:r>
      <w:r w:rsidR="00E257BB" w:rsidRPr="00301C85">
        <w:rPr>
          <w:rFonts w:asciiTheme="majorHAnsi" w:hAnsiTheme="majorHAnsi" w:cstheme="minorHAnsi"/>
          <w:i/>
          <w:iCs/>
          <w:color w:val="000000" w:themeColor="text1"/>
        </w:rPr>
        <w:t>.</w:t>
      </w:r>
      <w:r w:rsidRPr="00301C85">
        <w:rPr>
          <w:rFonts w:asciiTheme="majorHAnsi" w:hAnsiTheme="majorHAnsi" w:cstheme="minorHAnsi"/>
          <w:i/>
          <w:iCs/>
          <w:color w:val="000000" w:themeColor="text1"/>
        </w:rPr>
        <w:t> </w:t>
      </w:r>
    </w:p>
    <w:p w14:paraId="37A68CD1" w14:textId="77777777" w:rsidR="006C15DA" w:rsidRPr="00301C85" w:rsidRDefault="006C15DA" w:rsidP="006C15DA">
      <w:pPr>
        <w:pStyle w:val="NormalWeb"/>
        <w:spacing w:line="360" w:lineRule="auto"/>
        <w:contextualSpacing/>
        <w:rPr>
          <w:rFonts w:asciiTheme="majorHAnsi" w:hAnsiTheme="majorHAnsi" w:cstheme="minorHAnsi"/>
          <w:color w:val="000000" w:themeColor="text1"/>
        </w:rPr>
      </w:pPr>
    </w:p>
    <w:p w14:paraId="0B74FB7B"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color w:val="000000" w:themeColor="text1"/>
        </w:rPr>
        <w:t xml:space="preserve">Of course, engaging with young men to explore what processes and approaches work best in any one context is challenging. It has been acknowledged though, that activity-based engagement can be effective in providing a vehicle for trust and authentic engagement to develop (Grace, Richardson, and Carroll, 2014). </w:t>
      </w:r>
      <w:r w:rsidRPr="00301C85">
        <w:rPr>
          <w:rFonts w:asciiTheme="majorHAnsi" w:hAnsiTheme="majorHAnsi" w:cstheme="minorHAnsi"/>
        </w:rPr>
        <w:t xml:space="preserve">This issue of using activity in the work to engage </w:t>
      </w:r>
      <w:r w:rsidRPr="00301C85">
        <w:rPr>
          <w:rFonts w:asciiTheme="majorHAnsi" w:hAnsiTheme="majorHAnsi" w:cstheme="minorHAnsi"/>
        </w:rPr>
        <w:lastRenderedPageBreak/>
        <w:t>and build trust with young men was outlined by the Headteacher interviewed, in describing a collaborative project their school has engaged with:</w:t>
      </w:r>
    </w:p>
    <w:p w14:paraId="21E05116"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359383B2" w14:textId="7A8FE193" w:rsidR="006C15DA" w:rsidRPr="00301C85" w:rsidRDefault="006C15DA" w:rsidP="006C15DA">
      <w:pPr>
        <w:pStyle w:val="Caption1"/>
        <w:spacing w:after="0" w:line="360" w:lineRule="auto"/>
        <w:ind w:left="720"/>
        <w:contextualSpacing/>
        <w:jc w:val="left"/>
        <w:rPr>
          <w:rFonts w:asciiTheme="majorHAnsi" w:hAnsiTheme="majorHAnsi" w:cstheme="minorHAnsi"/>
          <w:color w:val="000000"/>
          <w:sz w:val="24"/>
        </w:rPr>
      </w:pPr>
      <w:r w:rsidRPr="00301C85">
        <w:rPr>
          <w:rFonts w:asciiTheme="majorHAnsi" w:hAnsiTheme="majorHAnsi" w:cstheme="minorHAnsi"/>
          <w:color w:val="000000" w:themeColor="text1"/>
          <w:sz w:val="24"/>
        </w:rPr>
        <w:t>He works for a charity organisation and that he does…, mends bikes, pushbikes, and he comes in on a Thursday. He has two or three lads at the moment, and he basically teaches them to fix, do up bikes. And over the course of five or six weeks he will, you know, these kids will learn how to change a tyre or change the gears or fix the brakes or whatever. And then they go out into primary schools, and they help fix bikes, of the kids in the primary school</w:t>
      </w:r>
      <w:r w:rsidR="00E257BB" w:rsidRPr="00301C85">
        <w:rPr>
          <w:rFonts w:asciiTheme="majorHAnsi" w:hAnsiTheme="majorHAnsi" w:cstheme="minorHAnsi"/>
          <w:color w:val="000000" w:themeColor="text1"/>
          <w:sz w:val="24"/>
        </w:rPr>
        <w:t>.</w:t>
      </w:r>
    </w:p>
    <w:p w14:paraId="7730212C" w14:textId="77777777" w:rsidR="006C15DA" w:rsidRPr="00301C85" w:rsidRDefault="006C15DA" w:rsidP="006C15DA">
      <w:pPr>
        <w:pStyle w:val="NormalWeb"/>
        <w:spacing w:line="360" w:lineRule="auto"/>
        <w:contextualSpacing/>
        <w:rPr>
          <w:rFonts w:asciiTheme="majorHAnsi" w:hAnsiTheme="majorHAnsi" w:cstheme="minorHAnsi"/>
        </w:rPr>
      </w:pPr>
    </w:p>
    <w:p w14:paraId="0C758934" w14:textId="77777777" w:rsidR="006C15DA" w:rsidRPr="00301C85" w:rsidRDefault="006C15DA" w:rsidP="006C15DA">
      <w:pPr>
        <w:pStyle w:val="NormalWeb"/>
        <w:spacing w:line="360" w:lineRule="auto"/>
        <w:contextualSpacing/>
        <w:rPr>
          <w:rFonts w:asciiTheme="majorHAnsi" w:hAnsiTheme="majorHAnsi" w:cstheme="minorHAnsi"/>
          <w:iCs/>
        </w:rPr>
      </w:pPr>
      <w:r w:rsidRPr="00301C85">
        <w:rPr>
          <w:rFonts w:asciiTheme="majorHAnsi" w:hAnsiTheme="majorHAnsi" w:cstheme="minorHAnsi"/>
        </w:rPr>
        <w:t>Another project practitioner also spoke of the importance of work with young men being “</w:t>
      </w:r>
      <w:r w:rsidRPr="00301C85">
        <w:rPr>
          <w:rFonts w:asciiTheme="majorHAnsi" w:hAnsiTheme="majorHAnsi" w:cstheme="minorHAnsi"/>
          <w:i/>
          <w:iCs/>
          <w:color w:val="000000" w:themeColor="text1"/>
        </w:rPr>
        <w:t>engaged and active rather than being reflective and kind of, in that one-to-one setting</w:t>
      </w:r>
      <w:r w:rsidRPr="00301C85">
        <w:rPr>
          <w:rFonts w:asciiTheme="majorHAnsi" w:hAnsiTheme="majorHAnsi" w:cstheme="minorHAnsi"/>
          <w:iCs/>
          <w:color w:val="000000" w:themeColor="text1"/>
        </w:rPr>
        <w:t>”.</w:t>
      </w:r>
    </w:p>
    <w:p w14:paraId="141D38E1" w14:textId="77777777" w:rsidR="006C15DA" w:rsidRPr="00301C85" w:rsidRDefault="006C15DA" w:rsidP="006C15DA">
      <w:pPr>
        <w:pStyle w:val="NormalWeb"/>
        <w:spacing w:line="360" w:lineRule="auto"/>
        <w:contextualSpacing/>
        <w:rPr>
          <w:rFonts w:asciiTheme="majorHAnsi" w:hAnsiTheme="majorHAnsi" w:cstheme="minorHAnsi"/>
        </w:rPr>
      </w:pPr>
    </w:p>
    <w:p w14:paraId="401BD0ED" w14:textId="02E45604" w:rsidR="006C15DA" w:rsidRPr="00301C85" w:rsidRDefault="00D12387" w:rsidP="006C15DA">
      <w:pPr>
        <w:pStyle w:val="NormalWeb"/>
        <w:spacing w:line="360" w:lineRule="auto"/>
        <w:contextualSpacing/>
        <w:rPr>
          <w:rFonts w:asciiTheme="majorHAnsi" w:hAnsiTheme="majorHAnsi" w:cstheme="minorHAnsi"/>
          <w:i/>
          <w:iCs/>
        </w:rPr>
      </w:pPr>
      <w:r w:rsidRPr="00301C85">
        <w:rPr>
          <w:rFonts w:asciiTheme="majorHAnsi" w:hAnsiTheme="majorHAnsi" w:cstheme="minorHAnsi"/>
          <w:i/>
          <w:iCs/>
        </w:rPr>
        <w:t>5.7.</w:t>
      </w:r>
      <w:r w:rsidR="00724275" w:rsidRPr="00301C85">
        <w:rPr>
          <w:rFonts w:asciiTheme="majorHAnsi" w:hAnsiTheme="majorHAnsi" w:cstheme="minorHAnsi"/>
          <w:i/>
          <w:iCs/>
        </w:rPr>
        <w:t>3</w:t>
      </w:r>
      <w:r w:rsidRPr="00301C85">
        <w:rPr>
          <w:rFonts w:asciiTheme="majorHAnsi" w:hAnsiTheme="majorHAnsi" w:cstheme="minorHAnsi"/>
          <w:i/>
          <w:iCs/>
        </w:rPr>
        <w:t xml:space="preserve"> </w:t>
      </w:r>
      <w:r w:rsidR="006C15DA" w:rsidRPr="00301C85">
        <w:rPr>
          <w:rFonts w:asciiTheme="majorHAnsi" w:hAnsiTheme="majorHAnsi" w:cstheme="minorHAnsi"/>
          <w:i/>
          <w:iCs/>
        </w:rPr>
        <w:t>Interventions in context</w:t>
      </w:r>
    </w:p>
    <w:p w14:paraId="062AEEFD"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Hence, whilst the overt focus of engagement might be the activity, the underlying focus was on the relationship in context. The importance of understanding the wider context for young men’s development and need (Bronfenbrenner, 1979) was recognised again by the Headteacher interviewed:</w:t>
      </w:r>
    </w:p>
    <w:p w14:paraId="381F200D" w14:textId="77777777" w:rsidR="006C15DA" w:rsidRPr="00301C85" w:rsidRDefault="006C15DA" w:rsidP="006C15DA">
      <w:pPr>
        <w:pStyle w:val="NormalWeb"/>
        <w:spacing w:line="360" w:lineRule="auto"/>
        <w:contextualSpacing/>
        <w:rPr>
          <w:rFonts w:asciiTheme="majorHAnsi" w:hAnsiTheme="majorHAnsi" w:cstheme="minorHAnsi"/>
        </w:rPr>
      </w:pPr>
    </w:p>
    <w:p w14:paraId="1D1D58C8" w14:textId="20751EF3"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color w:val="000000" w:themeColor="text1"/>
        </w:rPr>
        <w:t>What they did was they came into school regularly, and did work with the lads in a really productive positive way; they formed those close relationships, but they made the link between what they were doing at home – they came to meetings, so if one of them had been excluded, in trouble, they came to meetings and were an advocate for the kid and the family, but what I think they did really well is that they absolutely held parents to account as well</w:t>
      </w:r>
      <w:r w:rsidR="00E257BB" w:rsidRPr="00301C85">
        <w:rPr>
          <w:rFonts w:asciiTheme="majorHAnsi" w:hAnsiTheme="majorHAnsi" w:cstheme="minorHAnsi"/>
          <w:i/>
          <w:iCs/>
          <w:color w:val="000000" w:themeColor="text1"/>
        </w:rPr>
        <w:t>.</w:t>
      </w:r>
    </w:p>
    <w:p w14:paraId="09E3C421" w14:textId="77777777" w:rsidR="006C15DA" w:rsidRPr="00301C85" w:rsidRDefault="006C15DA" w:rsidP="006C15DA">
      <w:pPr>
        <w:pStyle w:val="NormalWeb"/>
        <w:spacing w:line="360" w:lineRule="auto"/>
        <w:contextualSpacing/>
        <w:rPr>
          <w:rFonts w:asciiTheme="majorHAnsi" w:hAnsiTheme="majorHAnsi" w:cstheme="minorHAnsi"/>
        </w:rPr>
      </w:pPr>
    </w:p>
    <w:p w14:paraId="01E7E6CE"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lastRenderedPageBreak/>
        <w:t xml:space="preserve">These elements of being </w:t>
      </w:r>
      <w:r w:rsidRPr="00301C85">
        <w:rPr>
          <w:rFonts w:asciiTheme="majorHAnsi" w:hAnsiTheme="majorHAnsi" w:cstheme="minorHAnsi"/>
          <w:i/>
          <w:iCs/>
        </w:rPr>
        <w:t>person centred</w:t>
      </w:r>
      <w:r w:rsidRPr="00301C85">
        <w:rPr>
          <w:rFonts w:asciiTheme="majorHAnsi" w:hAnsiTheme="majorHAnsi" w:cstheme="minorHAnsi"/>
        </w:rPr>
        <w:t xml:space="preserve"> and affecting acceptance, regard and professional authenticity (Rogers, 1961), combined with understanding the affordance of, at times, using activity as a process for engagement, whilst seeing and working with young men </w:t>
      </w:r>
      <w:r w:rsidRPr="00301C85">
        <w:rPr>
          <w:rFonts w:asciiTheme="majorHAnsi" w:hAnsiTheme="majorHAnsi" w:cstheme="minorHAnsi"/>
          <w:i/>
          <w:iCs/>
        </w:rPr>
        <w:t>in context</w:t>
      </w:r>
      <w:r w:rsidRPr="00301C85">
        <w:rPr>
          <w:rFonts w:asciiTheme="majorHAnsi" w:hAnsiTheme="majorHAnsi" w:cstheme="minorHAnsi"/>
        </w:rPr>
        <w:t xml:space="preserve">, all point towards the deployment of open ended, key worker / mentor approaches, alongside facilitation of more specialist, time bound interventions, where needed. </w:t>
      </w:r>
    </w:p>
    <w:p w14:paraId="388E24E2" w14:textId="77777777" w:rsidR="006C15DA" w:rsidRPr="00301C85" w:rsidRDefault="006C15DA" w:rsidP="006C15DA">
      <w:pPr>
        <w:pStyle w:val="NormalWeb"/>
        <w:spacing w:line="360" w:lineRule="auto"/>
        <w:contextualSpacing/>
        <w:rPr>
          <w:rFonts w:asciiTheme="majorHAnsi" w:hAnsiTheme="majorHAnsi" w:cstheme="minorHAnsi"/>
        </w:rPr>
      </w:pPr>
    </w:p>
    <w:p w14:paraId="4029C6D9" w14:textId="113B09BC" w:rsidR="006C15DA" w:rsidRPr="00301C85" w:rsidRDefault="006C15DA" w:rsidP="00301C85">
      <w:pPr>
        <w:pStyle w:val="NormalWeb"/>
        <w:spacing w:line="360" w:lineRule="auto"/>
        <w:contextualSpacing/>
        <w:rPr>
          <w:rFonts w:asciiTheme="majorHAnsi" w:hAnsiTheme="majorHAnsi" w:cstheme="minorHAnsi"/>
        </w:rPr>
      </w:pPr>
      <w:r w:rsidRPr="00301C85">
        <w:rPr>
          <w:rFonts w:asciiTheme="majorHAnsi" w:hAnsiTheme="majorHAnsi" w:cstheme="minorHAnsi"/>
        </w:rPr>
        <w:t>Perhaps one young man summed this up for many, when he commented “</w:t>
      </w:r>
      <w:r w:rsidRPr="00301C85">
        <w:rPr>
          <w:rFonts w:asciiTheme="majorHAnsi" w:hAnsiTheme="majorHAnsi" w:cstheme="minorHAnsi"/>
          <w:i/>
          <w:iCs/>
        </w:rPr>
        <w:t>I just wanted someone to give me a hug and say like, them to tell me that they saw me, type thing”</w:t>
      </w:r>
      <w:r w:rsidR="00E257BB" w:rsidRPr="00301C85">
        <w:rPr>
          <w:rFonts w:asciiTheme="majorHAnsi" w:hAnsiTheme="majorHAnsi" w:cstheme="minorHAnsi"/>
          <w:i/>
          <w:iCs/>
        </w:rPr>
        <w:t>.</w:t>
      </w:r>
    </w:p>
    <w:p w14:paraId="1DBE4E06" w14:textId="77777777" w:rsidR="006C15DA" w:rsidRPr="00301C85" w:rsidRDefault="006C15DA" w:rsidP="006C15DA">
      <w:pPr>
        <w:pStyle w:val="NormalWeb"/>
        <w:spacing w:line="360" w:lineRule="auto"/>
        <w:contextualSpacing/>
        <w:rPr>
          <w:rFonts w:asciiTheme="majorHAnsi" w:hAnsiTheme="majorHAnsi" w:cstheme="minorHAnsi"/>
        </w:rPr>
      </w:pPr>
    </w:p>
    <w:p w14:paraId="28C3F1D5"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Whilst professional boundaries do not always permit this, this comment does reveal still a particular human need which is not always possible to meet within current service provision. It may go some way to explain though where young men may seek to have these fundamental needs for belonging and validation met in other ways. This in turn, requires perhaps further interrogation and understanding of warmth, integrity and authenticity in professional relationships between practitioners and young men.</w:t>
      </w:r>
    </w:p>
    <w:p w14:paraId="00212DF5" w14:textId="77777777" w:rsidR="006C15DA" w:rsidRPr="00EE05AA" w:rsidRDefault="006C15DA" w:rsidP="006C15DA">
      <w:pPr>
        <w:pStyle w:val="NormalWeb"/>
        <w:spacing w:line="360" w:lineRule="auto"/>
        <w:contextualSpacing/>
        <w:rPr>
          <w:rFonts w:asciiTheme="majorHAnsi" w:hAnsiTheme="majorHAnsi" w:cstheme="minorHAnsi"/>
          <w:sz w:val="22"/>
          <w:szCs w:val="22"/>
        </w:rPr>
      </w:pPr>
    </w:p>
    <w:p w14:paraId="13ECBE9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Implications for practice</w:t>
      </w:r>
    </w:p>
    <w:p w14:paraId="7C593FC2" w14:textId="6A739F03" w:rsidR="006C15DA" w:rsidRPr="00EE05AA" w:rsidRDefault="006C15DA" w:rsidP="0080697E">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Bidi"/>
        </w:rPr>
      </w:pPr>
      <w:r w:rsidRPr="088F2921">
        <w:rPr>
          <w:rFonts w:asciiTheme="majorHAnsi" w:hAnsiTheme="majorHAnsi" w:cstheme="minorBidi"/>
        </w:rPr>
        <w:t>Development / promotion of sustained, person-centred relationships, which affirm and validate young men</w:t>
      </w:r>
      <w:r w:rsidR="5A8C5F1F" w:rsidRPr="088F2921">
        <w:rPr>
          <w:rFonts w:asciiTheme="majorHAnsi" w:hAnsiTheme="majorHAnsi" w:cstheme="minorBidi"/>
        </w:rPr>
        <w:t xml:space="preserve"> </w:t>
      </w:r>
    </w:p>
    <w:p w14:paraId="06F002ED"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40ACF71E" w14:textId="77777777" w:rsidR="006C15DA" w:rsidRPr="00EE05AA" w:rsidRDefault="006C15DA" w:rsidP="0080697E">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 xml:space="preserve">Develop range of provision, which encompasses flexibility in engagement and focus of intervention re identity, activity / behaviour, choice etc. </w:t>
      </w:r>
    </w:p>
    <w:p w14:paraId="46911C81"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spacing w:line="360" w:lineRule="auto"/>
        <w:contextualSpacing/>
        <w:rPr>
          <w:rFonts w:asciiTheme="majorHAnsi" w:hAnsiTheme="majorHAnsi" w:cstheme="minorHAnsi"/>
        </w:rPr>
      </w:pPr>
    </w:p>
    <w:p w14:paraId="47FF5C33" w14:textId="77777777" w:rsidR="006C15DA" w:rsidRPr="00EE05AA" w:rsidRDefault="006C15DA" w:rsidP="0080697E">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3FFD9"/>
        <w:spacing w:line="360" w:lineRule="auto"/>
        <w:ind w:left="360"/>
        <w:rPr>
          <w:rFonts w:asciiTheme="majorHAnsi" w:hAnsiTheme="majorHAnsi" w:cstheme="minorHAnsi"/>
        </w:rPr>
      </w:pPr>
      <w:r w:rsidRPr="00EE05AA">
        <w:rPr>
          <w:rFonts w:asciiTheme="majorHAnsi" w:hAnsiTheme="majorHAnsi" w:cstheme="minorHAnsi"/>
        </w:rPr>
        <w:t xml:space="preserve">Ensure relationships and interventions acknowledge and work with young men in the context of their sometimes complex and fractured lives   </w:t>
      </w:r>
    </w:p>
    <w:p w14:paraId="2A80FA7A" w14:textId="77777777" w:rsidR="006C15DA" w:rsidRPr="00EE05AA" w:rsidRDefault="006C15DA" w:rsidP="006C15DA">
      <w:pPr>
        <w:pStyle w:val="NormalWeb"/>
        <w:spacing w:line="360" w:lineRule="auto"/>
        <w:contextualSpacing/>
        <w:rPr>
          <w:rFonts w:asciiTheme="majorHAnsi" w:hAnsiTheme="majorHAnsi" w:cstheme="minorHAnsi"/>
          <w:sz w:val="22"/>
          <w:szCs w:val="22"/>
        </w:rPr>
      </w:pPr>
    </w:p>
    <w:p w14:paraId="3115EE04" w14:textId="77777777" w:rsidR="006C15DA" w:rsidRPr="00EE05AA" w:rsidRDefault="006C15DA" w:rsidP="006C15DA">
      <w:pPr>
        <w:spacing w:line="360" w:lineRule="auto"/>
        <w:contextualSpacing/>
        <w:rPr>
          <w:rFonts w:asciiTheme="majorHAnsi" w:hAnsiTheme="majorHAnsi" w:cstheme="minorHAnsi"/>
          <w:b/>
          <w:bCs/>
        </w:rPr>
      </w:pPr>
      <w:r w:rsidRPr="00EE05AA">
        <w:rPr>
          <w:rFonts w:asciiTheme="majorHAnsi" w:hAnsiTheme="majorHAnsi" w:cstheme="minorHAnsi"/>
          <w:b/>
          <w:bCs/>
        </w:rPr>
        <w:br w:type="page"/>
      </w:r>
    </w:p>
    <w:p w14:paraId="3158E52C" w14:textId="4E378AF7" w:rsidR="006C15DA" w:rsidRDefault="00D12387" w:rsidP="006C15DA">
      <w:pPr>
        <w:spacing w:line="360" w:lineRule="auto"/>
        <w:contextualSpacing/>
        <w:rPr>
          <w:rFonts w:asciiTheme="majorHAnsi" w:hAnsiTheme="majorHAnsi" w:cstheme="minorHAnsi"/>
          <w:b/>
          <w:bCs/>
        </w:rPr>
      </w:pPr>
      <w:r>
        <w:rPr>
          <w:rFonts w:asciiTheme="majorHAnsi" w:hAnsiTheme="majorHAnsi" w:cstheme="minorHAnsi"/>
          <w:b/>
          <w:bCs/>
        </w:rPr>
        <w:lastRenderedPageBreak/>
        <w:t>5</w:t>
      </w:r>
      <w:r w:rsidR="000414B2">
        <w:rPr>
          <w:rFonts w:asciiTheme="majorHAnsi" w:hAnsiTheme="majorHAnsi" w:cstheme="minorHAnsi"/>
          <w:b/>
          <w:bCs/>
        </w:rPr>
        <w:t xml:space="preserve">.8 </w:t>
      </w:r>
      <w:r w:rsidR="006C15DA" w:rsidRPr="00EE05AA">
        <w:rPr>
          <w:rFonts w:asciiTheme="majorHAnsi" w:hAnsiTheme="majorHAnsi" w:cstheme="minorHAnsi"/>
          <w:b/>
          <w:bCs/>
        </w:rPr>
        <w:t>Services and provision</w:t>
      </w:r>
    </w:p>
    <w:p w14:paraId="7D190CD1" w14:textId="77777777" w:rsidR="007813F2" w:rsidRPr="00EE05AA" w:rsidRDefault="007813F2" w:rsidP="006C15DA">
      <w:pPr>
        <w:spacing w:line="360" w:lineRule="auto"/>
        <w:contextualSpacing/>
        <w:rPr>
          <w:rFonts w:asciiTheme="majorHAnsi" w:hAnsiTheme="majorHAnsi" w:cstheme="minorHAnsi"/>
          <w:b/>
          <w:bCs/>
        </w:rPr>
      </w:pPr>
    </w:p>
    <w:p w14:paraId="3A5C9B08"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Key Issues</w:t>
      </w:r>
    </w:p>
    <w:p w14:paraId="0DB457C7"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Fragmented services</w:t>
      </w:r>
    </w:p>
    <w:p w14:paraId="5A9826E9"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The commitment of practitioners and service leads is clear. Many of those interviewed spoke warmly and with insight and compassion about young men. There was an acknowledgement and understanding of the context and needs within young men’s lives amongst those interviewed, along with some frustration regarding the limitations and fragmentation of services.</w:t>
      </w:r>
    </w:p>
    <w:p w14:paraId="1A19ACA3"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6600A395"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rPr>
      </w:pPr>
      <w:r w:rsidRPr="00EE05AA">
        <w:rPr>
          <w:rFonts w:asciiTheme="majorHAnsi" w:hAnsiTheme="majorHAnsi" w:cstheme="minorHAnsi"/>
          <w:i/>
        </w:rPr>
        <w:t xml:space="preserve">The impact of austerity </w:t>
      </w:r>
    </w:p>
    <w:p w14:paraId="41907813"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 xml:space="preserve">The Government austerity programme implemented in 2010 led to cuts to services and increases workloads and thresholds, meaning that the responsiveness of services has in many cases, diminished. Cuts have also resulted in challenges whereby some young men cannot access mental health support when needed, as a result of changing thresholds. </w:t>
      </w:r>
    </w:p>
    <w:p w14:paraId="5E5B4EC9"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p>
    <w:p w14:paraId="6FEA65B6"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Need for collaborative engagement</w:t>
      </w:r>
    </w:p>
    <w:p w14:paraId="0E4CD827"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There is a clear need for collaborative, inter-agency engagement, both at the level of service / organisational leads, as well as at practitioner level. Anecdotally, references were made to individuals who exemplified this level of inter-practitioner working, whilst others felt that this had become reduced in recent years. Most references to inter-agency / inter-practitioner working involved signposting and referring on, rather than collaborative engagement, creating further challenges within a context of competition for funding.</w:t>
      </w:r>
    </w:p>
    <w:p w14:paraId="350D0C56"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p>
    <w:p w14:paraId="509F139C"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i/>
          <w:iCs/>
        </w:rPr>
      </w:pPr>
      <w:r w:rsidRPr="00EE05AA">
        <w:rPr>
          <w:rFonts w:asciiTheme="majorHAnsi" w:hAnsiTheme="majorHAnsi" w:cstheme="minorHAnsi"/>
          <w:i/>
          <w:iCs/>
        </w:rPr>
        <w:t>Valuing services</w:t>
      </w:r>
    </w:p>
    <w:p w14:paraId="01C035BF"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contextualSpacing/>
        <w:rPr>
          <w:rFonts w:asciiTheme="majorHAnsi" w:hAnsiTheme="majorHAnsi" w:cstheme="minorHAnsi"/>
        </w:rPr>
      </w:pPr>
      <w:r w:rsidRPr="00EE05AA">
        <w:rPr>
          <w:rFonts w:asciiTheme="majorHAnsi" w:hAnsiTheme="majorHAnsi" w:cstheme="minorHAnsi"/>
        </w:rPr>
        <w:t>Young men value services which are both consistent and boundaried, and yet agile and flexible.</w:t>
      </w:r>
    </w:p>
    <w:p w14:paraId="45DA8D58" w14:textId="77777777" w:rsidR="006C15DA" w:rsidRPr="00EE05AA" w:rsidRDefault="006C15DA" w:rsidP="006C15DA">
      <w:pPr>
        <w:spacing w:line="360" w:lineRule="auto"/>
        <w:contextualSpacing/>
        <w:rPr>
          <w:rFonts w:asciiTheme="majorHAnsi" w:hAnsiTheme="majorHAnsi" w:cstheme="minorHAnsi"/>
        </w:rPr>
      </w:pPr>
    </w:p>
    <w:p w14:paraId="6C6D4235" w14:textId="7E5A90C5" w:rsidR="006C15DA" w:rsidRPr="00B05269" w:rsidRDefault="00D12387" w:rsidP="006C15DA">
      <w:pPr>
        <w:spacing w:line="360" w:lineRule="auto"/>
        <w:contextualSpacing/>
        <w:rPr>
          <w:rFonts w:asciiTheme="majorHAnsi" w:hAnsiTheme="majorHAnsi" w:cstheme="minorHAnsi"/>
          <w:i/>
          <w:iCs/>
        </w:rPr>
      </w:pPr>
      <w:r w:rsidRPr="00B05269">
        <w:rPr>
          <w:rFonts w:asciiTheme="majorHAnsi" w:hAnsiTheme="majorHAnsi" w:cstheme="minorHAnsi"/>
          <w:i/>
          <w:iCs/>
        </w:rPr>
        <w:lastRenderedPageBreak/>
        <w:t xml:space="preserve">5.8.1 </w:t>
      </w:r>
      <w:r w:rsidR="006C15DA" w:rsidRPr="00B05269">
        <w:rPr>
          <w:rFonts w:asciiTheme="majorHAnsi" w:hAnsiTheme="majorHAnsi" w:cstheme="minorHAnsi"/>
          <w:i/>
          <w:iCs/>
        </w:rPr>
        <w:t>Diversity and fragmentation</w:t>
      </w:r>
    </w:p>
    <w:p w14:paraId="3691E8E9"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Looking across the interviews with young men and with practitioners and managers / leaders, a picture emerges of a diversity of provision, offered by committed organisations from all sectors, seeking to provide accessible and effective services. For the young men interviewed, appreciation was shown of specific services, whilst they were critical of others. There was also a sense of fragmentation and inconsistency across the city emerging from the interviews and some evidence of the previously valued drive towards ‘joined-up’ provision and coherent service pathways, now sadly becoming diminished, perhaps inevitably as a result of the past decade’s austerity cuts.</w:t>
      </w:r>
    </w:p>
    <w:p w14:paraId="16A0FDA7" w14:textId="77777777" w:rsidR="006C15DA" w:rsidRPr="00EE05AA" w:rsidRDefault="006C15DA" w:rsidP="006C15DA">
      <w:pPr>
        <w:spacing w:line="360" w:lineRule="auto"/>
        <w:contextualSpacing/>
        <w:rPr>
          <w:rFonts w:asciiTheme="majorHAnsi" w:hAnsiTheme="majorHAnsi" w:cstheme="minorHAnsi"/>
        </w:rPr>
      </w:pPr>
    </w:p>
    <w:p w14:paraId="392F9C53" w14:textId="6E54282A" w:rsidR="006C15DA" w:rsidRPr="00B05269" w:rsidRDefault="00D12387" w:rsidP="006C15DA">
      <w:pPr>
        <w:spacing w:line="360" w:lineRule="auto"/>
        <w:contextualSpacing/>
        <w:rPr>
          <w:rFonts w:asciiTheme="majorHAnsi" w:hAnsiTheme="majorHAnsi" w:cstheme="minorHAnsi"/>
          <w:i/>
          <w:iCs/>
        </w:rPr>
      </w:pPr>
      <w:r w:rsidRPr="00B05269">
        <w:rPr>
          <w:rFonts w:asciiTheme="majorHAnsi" w:hAnsiTheme="majorHAnsi" w:cstheme="minorHAnsi"/>
          <w:i/>
          <w:iCs/>
        </w:rPr>
        <w:t xml:space="preserve">5.8.2 </w:t>
      </w:r>
      <w:r w:rsidR="006C15DA" w:rsidRPr="00B05269">
        <w:rPr>
          <w:rFonts w:asciiTheme="majorHAnsi" w:hAnsiTheme="majorHAnsi" w:cstheme="minorHAnsi"/>
          <w:i/>
          <w:iCs/>
        </w:rPr>
        <w:t>Access to services</w:t>
      </w:r>
    </w:p>
    <w:p w14:paraId="728CFFE1"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Access to services was something commented on and valued by young men:</w:t>
      </w:r>
    </w:p>
    <w:p w14:paraId="264151E0" w14:textId="77777777" w:rsidR="006C15DA" w:rsidRPr="00301C85" w:rsidRDefault="006C15DA" w:rsidP="006C15DA">
      <w:pPr>
        <w:pStyle w:val="NormalWeb"/>
        <w:spacing w:line="360" w:lineRule="auto"/>
        <w:contextualSpacing/>
        <w:rPr>
          <w:rFonts w:asciiTheme="majorHAnsi" w:hAnsiTheme="majorHAnsi" w:cstheme="minorHAnsi"/>
        </w:rPr>
      </w:pPr>
    </w:p>
    <w:p w14:paraId="32EED106" w14:textId="537E28F8"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There’s always a way, so like there’s always flyers all around Brighton, I don’t know if you’ve seen them, they’re like promoting youth services to people and the school does promote them, so it’s like very helpful because there’s a lot of different ways to connect and contact with people if you need it</w:t>
      </w:r>
      <w:r w:rsidR="00D12387" w:rsidRPr="00301C85">
        <w:rPr>
          <w:rFonts w:asciiTheme="majorHAnsi" w:hAnsiTheme="majorHAnsi" w:cstheme="minorHAnsi"/>
        </w:rPr>
        <w:t>.</w:t>
      </w:r>
    </w:p>
    <w:p w14:paraId="0ED59412" w14:textId="77777777" w:rsidR="006C15DA" w:rsidRPr="00301C85" w:rsidRDefault="006C15DA" w:rsidP="006C15DA">
      <w:pPr>
        <w:pStyle w:val="NormalWeb"/>
        <w:spacing w:line="360" w:lineRule="auto"/>
        <w:contextualSpacing/>
        <w:rPr>
          <w:rFonts w:asciiTheme="majorHAnsi" w:hAnsiTheme="majorHAnsi" w:cstheme="minorHAnsi"/>
          <w:i/>
          <w:iCs/>
        </w:rPr>
      </w:pPr>
    </w:p>
    <w:p w14:paraId="329E358E" w14:textId="2B8F1EDD"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I think just being present, like really like advertising themselves, you know, like really being present, and yeah, I mean I think just being present is the most important thing because if someone knows that the service is there, or someone’s there when they need to, they will approach them . . . And whether or not they deal with it in the right way or wrong way, like one way or another their situation will get better I think ... like in schools, like making sure like these services are definitely present all the time</w:t>
      </w:r>
      <w:r w:rsidR="00D12387" w:rsidRPr="00301C85">
        <w:rPr>
          <w:rFonts w:asciiTheme="majorHAnsi" w:hAnsiTheme="majorHAnsi" w:cstheme="minorHAnsi"/>
          <w:i/>
          <w:iCs/>
        </w:rPr>
        <w:t>.</w:t>
      </w:r>
      <w:r w:rsidRPr="00301C85">
        <w:rPr>
          <w:rFonts w:asciiTheme="majorHAnsi" w:hAnsiTheme="majorHAnsi" w:cstheme="minorHAnsi"/>
        </w:rPr>
        <w:t xml:space="preserve"> </w:t>
      </w:r>
    </w:p>
    <w:p w14:paraId="7A795935" w14:textId="77777777" w:rsidR="006C15DA" w:rsidRPr="00301C85" w:rsidRDefault="006C15DA" w:rsidP="006C15DA">
      <w:pPr>
        <w:pStyle w:val="NormalWeb"/>
        <w:spacing w:line="360" w:lineRule="auto"/>
        <w:ind w:left="720"/>
        <w:contextualSpacing/>
        <w:rPr>
          <w:rFonts w:asciiTheme="majorHAnsi" w:hAnsiTheme="majorHAnsi" w:cstheme="minorHAnsi"/>
        </w:rPr>
      </w:pPr>
    </w:p>
    <w:p w14:paraId="2C12F22A" w14:textId="77777777" w:rsidR="00301C85" w:rsidRDefault="00301C85" w:rsidP="006C15DA">
      <w:pPr>
        <w:pStyle w:val="Caption1"/>
        <w:spacing w:after="0" w:line="360" w:lineRule="auto"/>
        <w:contextualSpacing/>
        <w:jc w:val="left"/>
        <w:rPr>
          <w:rFonts w:asciiTheme="majorHAnsi" w:hAnsiTheme="majorHAnsi" w:cstheme="minorHAnsi"/>
          <w:i w:val="0"/>
          <w:iCs/>
          <w:color w:val="000000" w:themeColor="text1"/>
          <w:sz w:val="24"/>
        </w:rPr>
      </w:pPr>
    </w:p>
    <w:p w14:paraId="1C60312E" w14:textId="55294A44" w:rsidR="006C15DA" w:rsidRPr="00301C85" w:rsidRDefault="006C15DA" w:rsidP="006C15DA">
      <w:pPr>
        <w:pStyle w:val="Caption1"/>
        <w:spacing w:after="0" w:line="360" w:lineRule="auto"/>
        <w:contextualSpacing/>
        <w:jc w:val="left"/>
        <w:rPr>
          <w:rFonts w:asciiTheme="majorHAnsi" w:hAnsiTheme="majorHAnsi" w:cstheme="minorHAnsi"/>
          <w:i w:val="0"/>
          <w:iCs/>
          <w:color w:val="000000" w:themeColor="text1"/>
          <w:sz w:val="24"/>
        </w:rPr>
      </w:pPr>
      <w:r w:rsidRPr="00301C85">
        <w:rPr>
          <w:rFonts w:asciiTheme="majorHAnsi" w:hAnsiTheme="majorHAnsi" w:cstheme="minorHAnsi"/>
          <w:i w:val="0"/>
          <w:iCs/>
          <w:color w:val="000000" w:themeColor="text1"/>
          <w:sz w:val="24"/>
        </w:rPr>
        <w:lastRenderedPageBreak/>
        <w:t>And for the service providers, the issue of accessibility, especially for voluntary sector organisations perhaps, was also important:</w:t>
      </w:r>
    </w:p>
    <w:p w14:paraId="314B6CFB" w14:textId="77777777" w:rsidR="006C15DA" w:rsidRPr="00EE05AA" w:rsidRDefault="006C15DA" w:rsidP="006C15DA">
      <w:pPr>
        <w:rPr>
          <w:rFonts w:asciiTheme="majorHAnsi" w:hAnsiTheme="majorHAnsi"/>
        </w:rPr>
      </w:pPr>
    </w:p>
    <w:p w14:paraId="35A0A6A9" w14:textId="1D4A953B"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I think going into their schools, g</w:t>
      </w:r>
      <w:r w:rsidRPr="00301C85">
        <w:rPr>
          <w:rStyle w:val="Strong1"/>
          <w:rFonts w:asciiTheme="majorHAnsi" w:hAnsiTheme="majorHAnsi" w:cstheme="minorHAnsi"/>
          <w:b w:val="0"/>
          <w:bCs/>
          <w:color w:val="000000" w:themeColor="text1"/>
          <w:sz w:val="24"/>
        </w:rPr>
        <w:t>oing into their communities,</w:t>
      </w:r>
      <w:r w:rsidRPr="00301C85">
        <w:rPr>
          <w:rFonts w:asciiTheme="majorHAnsi" w:hAnsiTheme="majorHAnsi" w:cstheme="minorHAnsi"/>
          <w:color w:val="000000" w:themeColor="text1"/>
          <w:sz w:val="24"/>
        </w:rPr>
        <w:t xml:space="preserve"> going to their churches, or mosques, or wherever they are, go and reach them where they are</w:t>
      </w:r>
      <w:r w:rsidR="00DF1EF7" w:rsidRPr="00301C85">
        <w:rPr>
          <w:rFonts w:asciiTheme="majorHAnsi" w:hAnsiTheme="majorHAnsi" w:cstheme="minorHAnsi"/>
          <w:color w:val="000000" w:themeColor="text1"/>
          <w:sz w:val="24"/>
        </w:rPr>
        <w:t>.</w:t>
      </w:r>
    </w:p>
    <w:p w14:paraId="6F267430" w14:textId="77777777" w:rsidR="006C15DA" w:rsidRPr="00301C85" w:rsidRDefault="006C15DA" w:rsidP="006C15DA">
      <w:pPr>
        <w:pStyle w:val="NormalWeb"/>
        <w:spacing w:line="360" w:lineRule="auto"/>
        <w:contextualSpacing/>
        <w:rPr>
          <w:rFonts w:asciiTheme="majorHAnsi" w:hAnsiTheme="majorHAnsi" w:cstheme="minorHAnsi"/>
        </w:rPr>
      </w:pPr>
    </w:p>
    <w:p w14:paraId="31444AA0"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Issues of accessibility also include the extent which services and practitioners are available outside of ‘office hours’:</w:t>
      </w:r>
    </w:p>
    <w:p w14:paraId="23EFB943"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3EA310B6" w14:textId="77777777"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 xml:space="preserve">Um, I mean it’s being available for the young person when they need you to be available. Obviously, there is a, you know, a cut-off </w:t>
      </w:r>
      <w:proofErr w:type="gramStart"/>
      <w:r w:rsidRPr="00301C85">
        <w:rPr>
          <w:rFonts w:asciiTheme="majorHAnsi" w:hAnsiTheme="majorHAnsi" w:cstheme="minorHAnsi"/>
          <w:i/>
          <w:iCs/>
        </w:rPr>
        <w:t>point</w:t>
      </w:r>
      <w:proofErr w:type="gramEnd"/>
      <w:r w:rsidRPr="00301C85">
        <w:rPr>
          <w:rFonts w:asciiTheme="majorHAnsi" w:hAnsiTheme="majorHAnsi" w:cstheme="minorHAnsi"/>
          <w:i/>
          <w:iCs/>
        </w:rPr>
        <w:t xml:space="preserve"> at sort of midnight but…</w:t>
      </w:r>
    </w:p>
    <w:p w14:paraId="10C4FA00" w14:textId="77777777" w:rsidR="006C15DA" w:rsidRPr="00301C85" w:rsidRDefault="006C15DA" w:rsidP="006C15DA">
      <w:pPr>
        <w:pStyle w:val="NormalWeb"/>
        <w:spacing w:line="360" w:lineRule="auto"/>
        <w:ind w:left="720"/>
        <w:contextualSpacing/>
        <w:rPr>
          <w:rFonts w:asciiTheme="majorHAnsi" w:hAnsiTheme="majorHAnsi" w:cstheme="minorHAnsi"/>
          <w:i/>
          <w:iCs/>
        </w:rPr>
      </w:pPr>
    </w:p>
    <w:p w14:paraId="6FB78A58" w14:textId="41E53BE9"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But it’s being contactable, the young person can rely on you.  Realistically a lot of the students that we get have maybe had negative experiences in school, not got on with teachers, so immediately we don’t want to be seen as being in that role</w:t>
      </w:r>
      <w:r w:rsidR="00DF1EF7" w:rsidRPr="00301C85">
        <w:rPr>
          <w:rFonts w:asciiTheme="majorHAnsi" w:hAnsiTheme="majorHAnsi" w:cstheme="minorHAnsi"/>
          <w:i/>
          <w:iCs/>
        </w:rPr>
        <w:t>.</w:t>
      </w:r>
    </w:p>
    <w:p w14:paraId="6F434295" w14:textId="77777777" w:rsidR="006C15DA" w:rsidRPr="00301C85" w:rsidRDefault="006C15DA" w:rsidP="006C15DA">
      <w:pPr>
        <w:pStyle w:val="NormalWeb"/>
        <w:spacing w:line="360" w:lineRule="auto"/>
        <w:ind w:left="720"/>
        <w:contextualSpacing/>
        <w:rPr>
          <w:rFonts w:asciiTheme="majorHAnsi" w:hAnsiTheme="majorHAnsi" w:cstheme="minorHAnsi"/>
          <w:i/>
          <w:iCs/>
        </w:rPr>
      </w:pPr>
    </w:p>
    <w:p w14:paraId="025E4EA3" w14:textId="322F8DC9"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Flexibility . . . understanding that a kid might not actually be available till 6 o’clock at night. If that’s the case, that’s when you go and work with them</w:t>
      </w:r>
      <w:r w:rsidR="00DF1EF7" w:rsidRPr="00301C85">
        <w:rPr>
          <w:rFonts w:asciiTheme="majorHAnsi" w:hAnsiTheme="majorHAnsi" w:cstheme="minorHAnsi"/>
          <w:i/>
          <w:iCs/>
        </w:rPr>
        <w:t>.</w:t>
      </w:r>
      <w:r w:rsidRPr="00301C85">
        <w:rPr>
          <w:rFonts w:asciiTheme="majorHAnsi" w:hAnsiTheme="majorHAnsi" w:cstheme="minorHAnsi"/>
          <w:i/>
          <w:iCs/>
        </w:rPr>
        <w:t xml:space="preserve"> </w:t>
      </w:r>
    </w:p>
    <w:p w14:paraId="76FB641B" w14:textId="77777777" w:rsidR="006C15DA" w:rsidRPr="00301C85" w:rsidRDefault="006C15DA" w:rsidP="006C15DA">
      <w:pPr>
        <w:pStyle w:val="NormalWeb"/>
        <w:spacing w:line="360" w:lineRule="auto"/>
        <w:contextualSpacing/>
        <w:rPr>
          <w:rFonts w:asciiTheme="majorHAnsi" w:hAnsiTheme="majorHAnsi" w:cstheme="minorHAnsi"/>
        </w:rPr>
      </w:pPr>
    </w:p>
    <w:p w14:paraId="253C560D" w14:textId="7DA84D2E" w:rsidR="006C15DA" w:rsidRPr="00301C85" w:rsidRDefault="00D12387"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However</w:t>
      </w:r>
      <w:r w:rsidR="00B05269" w:rsidRPr="00301C85">
        <w:rPr>
          <w:rFonts w:asciiTheme="majorHAnsi" w:hAnsiTheme="majorHAnsi" w:cstheme="minorHAnsi"/>
        </w:rPr>
        <w:t>,</w:t>
      </w:r>
      <w:r w:rsidRPr="00301C85">
        <w:rPr>
          <w:rFonts w:asciiTheme="majorHAnsi" w:hAnsiTheme="majorHAnsi" w:cstheme="minorHAnsi"/>
        </w:rPr>
        <w:t xml:space="preserve"> </w:t>
      </w:r>
      <w:r w:rsidR="006C15DA" w:rsidRPr="00301C85">
        <w:rPr>
          <w:rFonts w:asciiTheme="majorHAnsi" w:hAnsiTheme="majorHAnsi" w:cstheme="minorHAnsi"/>
        </w:rPr>
        <w:t>issues of access of course go beyond signposting and physical accessibility. The issue of emotional / psychological accessibility was also commented on by young men:</w:t>
      </w:r>
    </w:p>
    <w:p w14:paraId="16BDED0B" w14:textId="77777777" w:rsidR="006C15DA" w:rsidRPr="00301C85" w:rsidRDefault="006C15DA" w:rsidP="006C15DA">
      <w:pPr>
        <w:pStyle w:val="NormalWeb"/>
        <w:spacing w:line="360" w:lineRule="auto"/>
        <w:contextualSpacing/>
        <w:rPr>
          <w:rFonts w:asciiTheme="majorHAnsi" w:hAnsiTheme="majorHAnsi" w:cstheme="minorHAnsi"/>
        </w:rPr>
      </w:pPr>
    </w:p>
    <w:p w14:paraId="25BEE465" w14:textId="3CA5E2DC" w:rsidR="00D12387"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 xml:space="preserve">The youth centre was like a lot more helpful in terms of like talking to someone one-on-one than school was, because you’d have to book it at school. But like if you wanted to talk to someone </w:t>
      </w:r>
      <w:r w:rsidRPr="00301C85">
        <w:rPr>
          <w:rFonts w:asciiTheme="majorHAnsi" w:hAnsiTheme="majorHAnsi" w:cstheme="minorHAnsi"/>
        </w:rPr>
        <w:t>[at the youth centre],</w:t>
      </w:r>
      <w:r w:rsidRPr="00301C85">
        <w:rPr>
          <w:rFonts w:asciiTheme="majorHAnsi" w:hAnsiTheme="majorHAnsi" w:cstheme="minorHAnsi"/>
          <w:i/>
          <w:iCs/>
        </w:rPr>
        <w:t xml:space="preserve"> you could just go in and say, “Hey, can I talk to someone?”</w:t>
      </w:r>
      <w:r w:rsidRPr="00301C85">
        <w:rPr>
          <w:rFonts w:asciiTheme="majorHAnsi" w:hAnsiTheme="majorHAnsi" w:cstheme="minorHAnsi"/>
        </w:rPr>
        <w:t xml:space="preserve"> </w:t>
      </w:r>
    </w:p>
    <w:p w14:paraId="77E82F03" w14:textId="77777777" w:rsidR="006C15DA" w:rsidRPr="00301C85" w:rsidRDefault="006C15DA" w:rsidP="00D12387">
      <w:pPr>
        <w:pStyle w:val="NormalWeb"/>
        <w:spacing w:line="360" w:lineRule="auto"/>
        <w:ind w:left="720"/>
        <w:contextualSpacing/>
        <w:rPr>
          <w:rFonts w:asciiTheme="majorHAnsi" w:hAnsiTheme="majorHAnsi" w:cstheme="minorHAnsi"/>
        </w:rPr>
      </w:pPr>
    </w:p>
    <w:p w14:paraId="21608086" w14:textId="74CCB35F"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lastRenderedPageBreak/>
        <w:t xml:space="preserve">I don’t think they know quite as much about kids, to be honest, like teenagers and that; like they don’t seem to do it from our perspective – they do it from their perspective and how it’s going to, how they think it’s going to help us </w:t>
      </w:r>
      <w:r w:rsidR="00DF1EF7" w:rsidRPr="00301C85">
        <w:rPr>
          <w:rFonts w:asciiTheme="majorHAnsi" w:hAnsiTheme="majorHAnsi" w:cstheme="minorHAnsi"/>
          <w:i/>
          <w:iCs/>
        </w:rPr>
        <w:t>…</w:t>
      </w:r>
      <w:r w:rsidRPr="00301C85">
        <w:rPr>
          <w:rFonts w:asciiTheme="majorHAnsi" w:hAnsiTheme="majorHAnsi" w:cstheme="minorHAnsi"/>
          <w:i/>
          <w:iCs/>
        </w:rPr>
        <w:t xml:space="preserve"> the way they do it, the way they do it, the people don’t tend to be as friendly… they don’t get to know you on a like one-to-one basis; it’s more like you are a number</w:t>
      </w:r>
      <w:r w:rsidR="00DF1EF7" w:rsidRPr="00301C85">
        <w:rPr>
          <w:rFonts w:asciiTheme="majorHAnsi" w:hAnsiTheme="majorHAnsi" w:cstheme="minorHAnsi"/>
          <w:i/>
          <w:iCs/>
        </w:rPr>
        <w:t>.</w:t>
      </w:r>
      <w:r w:rsidRPr="00301C85">
        <w:rPr>
          <w:rFonts w:asciiTheme="majorHAnsi" w:hAnsiTheme="majorHAnsi" w:cstheme="minorHAnsi"/>
        </w:rPr>
        <w:t xml:space="preserve"> </w:t>
      </w:r>
    </w:p>
    <w:p w14:paraId="0E2F6707" w14:textId="77777777" w:rsidR="006C15DA" w:rsidRPr="00301C85" w:rsidRDefault="006C15DA" w:rsidP="00B05269">
      <w:pPr>
        <w:pStyle w:val="NormalWeb"/>
        <w:spacing w:line="360" w:lineRule="auto"/>
        <w:contextualSpacing/>
        <w:rPr>
          <w:rFonts w:asciiTheme="majorHAnsi" w:hAnsiTheme="majorHAnsi" w:cstheme="minorHAnsi"/>
        </w:rPr>
      </w:pPr>
    </w:p>
    <w:p w14:paraId="4B9042EC" w14:textId="7EBD32D9"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it’s just like horrible, that youth club needs to be sorted out differently ... you should be able to feel safe if you’re going to a youth club, not go in there and then instead you’re going to get beaten up by someone, that’s supposed to be your safe space</w:t>
      </w:r>
      <w:r w:rsidR="00DF1EF7" w:rsidRPr="00301C85">
        <w:rPr>
          <w:rFonts w:asciiTheme="majorHAnsi" w:hAnsiTheme="majorHAnsi" w:cstheme="minorHAnsi"/>
          <w:i/>
          <w:iCs/>
        </w:rPr>
        <w:t>.</w:t>
      </w:r>
      <w:r w:rsidRPr="00301C85">
        <w:rPr>
          <w:rFonts w:asciiTheme="majorHAnsi" w:hAnsiTheme="majorHAnsi" w:cstheme="minorHAnsi"/>
        </w:rPr>
        <w:t xml:space="preserve"> </w:t>
      </w:r>
    </w:p>
    <w:p w14:paraId="7864273B" w14:textId="77777777" w:rsidR="006C15DA" w:rsidRPr="00301C85" w:rsidRDefault="006C15DA" w:rsidP="006C15DA">
      <w:pPr>
        <w:pStyle w:val="NormalWeb"/>
        <w:spacing w:line="360" w:lineRule="auto"/>
        <w:contextualSpacing/>
        <w:rPr>
          <w:rFonts w:asciiTheme="majorHAnsi" w:hAnsiTheme="majorHAnsi" w:cstheme="minorHAnsi"/>
        </w:rPr>
      </w:pPr>
    </w:p>
    <w:p w14:paraId="3541F7EC"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Again, such emotional / psychological access issues were acknowledged by service providers:</w:t>
      </w:r>
    </w:p>
    <w:p w14:paraId="3ED0EB61"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6FE2CF7D" w14:textId="1CCBA2F6"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Feeling like they’ve not, not listened to, nobody cares, they’ve got no support from friends or family; they don’t trust sharing their relations and being the face that is very willing to accept that, take that on board and offer support, is probably the biggest thing that a lot of young people, especially men, don’t feel they get a lot of</w:t>
      </w:r>
      <w:r w:rsidR="00DF1EF7" w:rsidRPr="00301C85">
        <w:rPr>
          <w:rFonts w:asciiTheme="majorHAnsi" w:hAnsiTheme="majorHAnsi" w:cstheme="minorHAnsi"/>
          <w:color w:val="000000" w:themeColor="text1"/>
          <w:sz w:val="24"/>
        </w:rPr>
        <w:t>.</w:t>
      </w:r>
    </w:p>
    <w:p w14:paraId="6B3ED3C9" w14:textId="77777777"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p>
    <w:p w14:paraId="644FBD14" w14:textId="1BD40643" w:rsidR="006C15DA" w:rsidRPr="00301C85" w:rsidRDefault="006C15DA" w:rsidP="006C15DA">
      <w:pPr>
        <w:pStyle w:val="Caption1"/>
        <w:spacing w:after="0" w:line="360" w:lineRule="auto"/>
        <w:ind w:left="720"/>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We set out to create a place for young men to explore who they were, who they were becoming, and to get support and reconnected to their community in a way that was accessible to them</w:t>
      </w:r>
      <w:r w:rsidR="00DF1EF7" w:rsidRPr="00301C85">
        <w:rPr>
          <w:rFonts w:asciiTheme="majorHAnsi" w:hAnsiTheme="majorHAnsi" w:cstheme="minorHAnsi"/>
          <w:color w:val="000000" w:themeColor="text1"/>
          <w:sz w:val="24"/>
        </w:rPr>
        <w:t>.</w:t>
      </w:r>
    </w:p>
    <w:p w14:paraId="62159A3B" w14:textId="77777777" w:rsidR="006C15DA" w:rsidRPr="00301C85" w:rsidRDefault="006C15DA" w:rsidP="006C15DA">
      <w:pPr>
        <w:spacing w:line="360" w:lineRule="auto"/>
        <w:contextualSpacing/>
        <w:rPr>
          <w:rFonts w:asciiTheme="majorHAnsi" w:hAnsiTheme="majorHAnsi" w:cstheme="minorHAnsi"/>
        </w:rPr>
      </w:pPr>
    </w:p>
    <w:p w14:paraId="71CAADD6"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This was extended to acknowledge that some formal service premises might not be felt to be comfortable for some young men:</w:t>
      </w:r>
    </w:p>
    <w:p w14:paraId="077BD3DF" w14:textId="77777777" w:rsidR="006C15DA" w:rsidRPr="00301C85" w:rsidRDefault="006C15DA" w:rsidP="006C15DA">
      <w:pPr>
        <w:pStyle w:val="NormalWeb"/>
        <w:spacing w:line="360" w:lineRule="auto"/>
        <w:ind w:firstLine="720"/>
        <w:contextualSpacing/>
        <w:rPr>
          <w:rFonts w:asciiTheme="majorHAnsi" w:hAnsiTheme="majorHAnsi" w:cstheme="minorHAnsi"/>
        </w:rPr>
      </w:pPr>
    </w:p>
    <w:p w14:paraId="347BBF7F" w14:textId="7BD398EE"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For some young people it might be out in the community if home</w:t>
      </w:r>
      <w:r w:rsidR="00DF1EF7" w:rsidRPr="00301C85">
        <w:rPr>
          <w:rFonts w:asciiTheme="majorHAnsi" w:hAnsiTheme="majorHAnsi" w:cstheme="minorHAnsi"/>
          <w:i/>
          <w:iCs/>
        </w:rPr>
        <w:t>’</w:t>
      </w:r>
      <w:r w:rsidRPr="00301C85">
        <w:rPr>
          <w:rFonts w:asciiTheme="majorHAnsi" w:hAnsiTheme="majorHAnsi" w:cstheme="minorHAnsi"/>
          <w:i/>
          <w:iCs/>
        </w:rPr>
        <w:t xml:space="preserve">s not really a good place; or if they struggle with sitting down in a room talking to someone, sometimes we go out, you know, go for a walk, go for a drive, go to a </w:t>
      </w:r>
      <w:r w:rsidR="00DF1EF7" w:rsidRPr="00301C85">
        <w:rPr>
          <w:rFonts w:asciiTheme="majorHAnsi" w:hAnsiTheme="majorHAnsi" w:cstheme="minorHAnsi"/>
          <w:i/>
          <w:iCs/>
        </w:rPr>
        <w:t>café</w:t>
      </w:r>
      <w:r w:rsidRPr="00301C85">
        <w:rPr>
          <w:rFonts w:asciiTheme="majorHAnsi" w:hAnsiTheme="majorHAnsi" w:cstheme="minorHAnsi"/>
          <w:i/>
          <w:iCs/>
        </w:rPr>
        <w:t>, that sort of thing</w:t>
      </w:r>
      <w:r w:rsidR="00DF1EF7" w:rsidRPr="00301C85">
        <w:rPr>
          <w:rFonts w:asciiTheme="majorHAnsi" w:hAnsiTheme="majorHAnsi" w:cstheme="minorHAnsi"/>
          <w:i/>
          <w:iCs/>
        </w:rPr>
        <w:t>.</w:t>
      </w:r>
    </w:p>
    <w:p w14:paraId="0A6E286F" w14:textId="77777777" w:rsidR="006C15DA" w:rsidRPr="00301C85" w:rsidRDefault="006C15DA" w:rsidP="006C15DA">
      <w:pPr>
        <w:pStyle w:val="NormalWeb"/>
        <w:spacing w:line="360" w:lineRule="auto"/>
        <w:ind w:left="720"/>
        <w:contextualSpacing/>
        <w:rPr>
          <w:rFonts w:asciiTheme="majorHAnsi" w:hAnsiTheme="majorHAnsi" w:cstheme="minorHAnsi"/>
        </w:rPr>
      </w:pPr>
    </w:p>
    <w:p w14:paraId="3F11CDC4" w14:textId="117F4ED1"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We see people at home when they're too anxious to leave the house</w:t>
      </w:r>
      <w:r w:rsidR="00DF1EF7" w:rsidRPr="00301C85">
        <w:rPr>
          <w:rFonts w:asciiTheme="majorHAnsi" w:hAnsiTheme="majorHAnsi" w:cstheme="minorHAnsi"/>
          <w:i/>
          <w:iCs/>
        </w:rPr>
        <w:t>.</w:t>
      </w:r>
    </w:p>
    <w:p w14:paraId="290FAED2" w14:textId="77777777" w:rsidR="006C15DA" w:rsidRPr="00301C85" w:rsidRDefault="006C15DA" w:rsidP="006C15DA">
      <w:pPr>
        <w:pStyle w:val="NormalWeb"/>
        <w:spacing w:line="360" w:lineRule="auto"/>
        <w:ind w:left="720"/>
        <w:contextualSpacing/>
        <w:rPr>
          <w:rFonts w:asciiTheme="majorHAnsi" w:hAnsiTheme="majorHAnsi" w:cstheme="minorHAnsi"/>
          <w:i/>
          <w:iCs/>
        </w:rPr>
      </w:pPr>
    </w:p>
    <w:p w14:paraId="1FED9416" w14:textId="45C3C046" w:rsidR="00D12387"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I’ve heard other services where if you miss one appointment, that’s it, you’re, you’ve had your chance, you’ve missed it. Whereas we kind of give them, you know, multiple chances. Just because it seems to be a very common thing so there’s obviously something going on there, so it’s working in a way where you kind of understand that their past dictates where they’re at in the present</w:t>
      </w:r>
      <w:r w:rsidR="00DF1EF7" w:rsidRPr="00301C85">
        <w:rPr>
          <w:rFonts w:asciiTheme="majorHAnsi" w:hAnsiTheme="majorHAnsi" w:cstheme="minorHAnsi"/>
          <w:i/>
          <w:iCs/>
        </w:rPr>
        <w:t>.</w:t>
      </w:r>
    </w:p>
    <w:p w14:paraId="30FAAD37" w14:textId="77777777" w:rsidR="006C15DA" w:rsidRPr="00301C85" w:rsidRDefault="006C15DA" w:rsidP="00B05269">
      <w:pPr>
        <w:pStyle w:val="NormalWeb"/>
        <w:spacing w:line="360" w:lineRule="auto"/>
        <w:ind w:left="720"/>
        <w:contextualSpacing/>
        <w:rPr>
          <w:rFonts w:asciiTheme="majorHAnsi" w:hAnsiTheme="majorHAnsi" w:cstheme="minorHAnsi"/>
          <w:i/>
          <w:iCs/>
        </w:rPr>
      </w:pPr>
    </w:p>
    <w:p w14:paraId="1BD3D519" w14:textId="0F784EBB"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 xml:space="preserve">There was some reference to the importance / benefit of services offering male practitioner engagement with young men </w:t>
      </w:r>
      <w:r w:rsidRPr="006B1E56">
        <w:rPr>
          <w:rFonts w:asciiTheme="majorHAnsi" w:hAnsiTheme="majorHAnsi" w:cstheme="minorHAnsi"/>
        </w:rPr>
        <w:t>(</w:t>
      </w:r>
      <w:r w:rsidRPr="0080697E">
        <w:rPr>
          <w:rFonts w:asciiTheme="majorHAnsi" w:hAnsiTheme="majorHAnsi" w:cstheme="minorHAnsi"/>
        </w:rPr>
        <w:t xml:space="preserve">see </w:t>
      </w:r>
      <w:r w:rsidRPr="0080697E">
        <w:rPr>
          <w:rFonts w:asciiTheme="majorHAnsi" w:hAnsiTheme="majorHAnsi" w:cstheme="minorHAnsi"/>
          <w:b/>
          <w:bCs/>
        </w:rPr>
        <w:t>Masculinities and other identities</w:t>
      </w:r>
      <w:r w:rsidR="00301C85" w:rsidRPr="0080697E">
        <w:rPr>
          <w:rFonts w:asciiTheme="majorHAnsi" w:hAnsiTheme="majorHAnsi" w:cstheme="minorHAnsi"/>
          <w:b/>
          <w:bCs/>
        </w:rPr>
        <w:t>, Section 5.2</w:t>
      </w:r>
      <w:r w:rsidRPr="0080697E">
        <w:rPr>
          <w:rFonts w:asciiTheme="majorHAnsi" w:hAnsiTheme="majorHAnsi" w:cstheme="minorHAnsi"/>
        </w:rPr>
        <w:t>):</w:t>
      </w:r>
    </w:p>
    <w:p w14:paraId="28A2E9D0" w14:textId="77777777" w:rsidR="006C15DA" w:rsidRPr="00301C85" w:rsidRDefault="006C15DA" w:rsidP="006C15DA">
      <w:pPr>
        <w:pStyle w:val="NormalWeb"/>
        <w:spacing w:line="360" w:lineRule="auto"/>
        <w:contextualSpacing/>
        <w:rPr>
          <w:rFonts w:asciiTheme="majorHAnsi" w:hAnsiTheme="majorHAnsi" w:cstheme="minorHAnsi"/>
        </w:rPr>
      </w:pPr>
    </w:p>
    <w:p w14:paraId="0CF0A037" w14:textId="308E7932" w:rsidR="006C15DA" w:rsidRPr="00301C85" w:rsidRDefault="006C15DA" w:rsidP="006C15DA">
      <w:pPr>
        <w:pStyle w:val="Caption1"/>
        <w:spacing w:after="0" w:line="360" w:lineRule="auto"/>
        <w:ind w:left="709"/>
        <w:contextualSpacing/>
        <w:jc w:val="left"/>
        <w:rPr>
          <w:rFonts w:asciiTheme="majorHAnsi" w:hAnsiTheme="majorHAnsi" w:cstheme="minorHAnsi"/>
          <w:color w:val="000000" w:themeColor="text1"/>
          <w:sz w:val="24"/>
        </w:rPr>
      </w:pPr>
      <w:r w:rsidRPr="00301C85">
        <w:rPr>
          <w:rFonts w:asciiTheme="majorHAnsi" w:hAnsiTheme="majorHAnsi" w:cstheme="minorHAnsi"/>
          <w:color w:val="000000" w:themeColor="text1"/>
          <w:sz w:val="24"/>
        </w:rPr>
        <w:t>But one thing that definitely comes up time and again from workers is they’re glad I’m male, they want this, they want them to have a male worker because they’ve never had one and I think that’s a huge gap and that’s always fed back to me is it’s so good to have a male worker</w:t>
      </w:r>
      <w:r w:rsidR="00DF1EF7" w:rsidRPr="00301C85">
        <w:rPr>
          <w:rFonts w:asciiTheme="majorHAnsi" w:hAnsiTheme="majorHAnsi" w:cstheme="minorHAnsi"/>
          <w:color w:val="000000" w:themeColor="text1"/>
          <w:sz w:val="24"/>
        </w:rPr>
        <w:t>.</w:t>
      </w:r>
    </w:p>
    <w:p w14:paraId="063F14AF" w14:textId="77777777" w:rsidR="006C15DA" w:rsidRPr="00301C85" w:rsidRDefault="006C15DA" w:rsidP="006C15DA">
      <w:pPr>
        <w:pStyle w:val="NormalWeb"/>
        <w:spacing w:line="360" w:lineRule="auto"/>
        <w:contextualSpacing/>
        <w:rPr>
          <w:rFonts w:asciiTheme="majorHAnsi" w:hAnsiTheme="majorHAnsi" w:cstheme="minorHAnsi"/>
        </w:rPr>
      </w:pPr>
    </w:p>
    <w:p w14:paraId="3D09219E" w14:textId="0499EB63" w:rsidR="006C15DA" w:rsidRPr="00301C85" w:rsidRDefault="00D12387" w:rsidP="006C15DA">
      <w:pPr>
        <w:pStyle w:val="NormalWeb"/>
        <w:spacing w:line="360" w:lineRule="auto"/>
        <w:contextualSpacing/>
        <w:rPr>
          <w:rFonts w:asciiTheme="majorHAnsi" w:hAnsiTheme="majorHAnsi" w:cstheme="minorHAnsi"/>
          <w:i/>
          <w:iCs/>
        </w:rPr>
      </w:pPr>
      <w:r w:rsidRPr="00301C85">
        <w:rPr>
          <w:rFonts w:asciiTheme="majorHAnsi" w:hAnsiTheme="majorHAnsi" w:cstheme="minorHAnsi"/>
          <w:i/>
          <w:iCs/>
        </w:rPr>
        <w:t xml:space="preserve">5.8.3 </w:t>
      </w:r>
      <w:r w:rsidR="006C15DA" w:rsidRPr="00301C85">
        <w:rPr>
          <w:rFonts w:asciiTheme="majorHAnsi" w:hAnsiTheme="majorHAnsi" w:cstheme="minorHAnsi"/>
          <w:i/>
          <w:iCs/>
        </w:rPr>
        <w:t>Agility of services</w:t>
      </w:r>
    </w:p>
    <w:p w14:paraId="225B6C0A"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 xml:space="preserve">This overarching issue of accessibility and creating a ‘safe space’ – physically, socially, culturally, emotionally, psychologically – cannot by overemphasised if services are to effectively engage with vulnerable, troubled and at-risk young men across Brighton and Hove. Where services are based in a particular locality, there was some reference to ‘neighbourhood working’ by practitioners and service leads, although again this was not extensive. Similarly, there was also reference to the importance of practitioners acting as advocates to young people when appropriate. This further suggests the need an agility of services in being able to ‘flex’ and respond to young men’s changing needs and where appropriate, understanding the importance </w:t>
      </w:r>
      <w:r w:rsidRPr="00301C85">
        <w:rPr>
          <w:rFonts w:asciiTheme="majorHAnsi" w:hAnsiTheme="majorHAnsi" w:cstheme="minorHAnsi"/>
        </w:rPr>
        <w:lastRenderedPageBreak/>
        <w:t xml:space="preserve">of and being committed to working collaboratively with other services to meet specific needs of young men: </w:t>
      </w:r>
    </w:p>
    <w:p w14:paraId="284C739B" w14:textId="77777777" w:rsidR="006C15DA" w:rsidRPr="00301C85" w:rsidRDefault="006C15DA" w:rsidP="006C15DA">
      <w:pPr>
        <w:pStyle w:val="NormalWeb"/>
        <w:spacing w:line="360" w:lineRule="auto"/>
        <w:contextualSpacing/>
        <w:rPr>
          <w:rFonts w:asciiTheme="majorHAnsi" w:hAnsiTheme="majorHAnsi" w:cstheme="minorHAnsi"/>
          <w:highlight w:val="yellow"/>
        </w:rPr>
      </w:pPr>
    </w:p>
    <w:p w14:paraId="17FBCF16" w14:textId="54F92E75"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rPr>
        <w:t>[Young man]</w:t>
      </w:r>
      <w:r w:rsidRPr="00301C85">
        <w:rPr>
          <w:rFonts w:asciiTheme="majorHAnsi" w:hAnsiTheme="majorHAnsi" w:cstheme="minorHAnsi"/>
          <w:i/>
          <w:iCs/>
        </w:rPr>
        <w:t xml:space="preserve"> I spoke to my other person </w:t>
      </w:r>
      <w:r w:rsidRPr="00301C85">
        <w:rPr>
          <w:rFonts w:asciiTheme="majorHAnsi" w:hAnsiTheme="majorHAnsi" w:cstheme="minorHAnsi"/>
        </w:rPr>
        <w:t>[at school]</w:t>
      </w:r>
      <w:r w:rsidRPr="00301C85">
        <w:rPr>
          <w:rFonts w:asciiTheme="majorHAnsi" w:hAnsiTheme="majorHAnsi" w:cstheme="minorHAnsi"/>
          <w:i/>
          <w:iCs/>
        </w:rPr>
        <w:t xml:space="preserve"> … and she said, she heard about this place who are quite good with anger management. And </w:t>
      </w:r>
      <w:proofErr w:type="gramStart"/>
      <w:r w:rsidRPr="00301C85">
        <w:rPr>
          <w:rFonts w:asciiTheme="majorHAnsi" w:hAnsiTheme="majorHAnsi" w:cstheme="minorHAnsi"/>
          <w:i/>
          <w:iCs/>
        </w:rPr>
        <w:t>so</w:t>
      </w:r>
      <w:proofErr w:type="gramEnd"/>
      <w:r w:rsidRPr="00301C85">
        <w:rPr>
          <w:rFonts w:asciiTheme="majorHAnsi" w:hAnsiTheme="majorHAnsi" w:cstheme="minorHAnsi"/>
          <w:i/>
          <w:iCs/>
        </w:rPr>
        <w:t xml:space="preserve"> she thought, she didn’t know if I was going to get in or not, but she said she would refer me anyway to see, to help, because she thought she was, I think she understood that she was the wrong sort of er… management for what I have</w:t>
      </w:r>
      <w:r w:rsidR="00DF1EF7" w:rsidRPr="00301C85">
        <w:rPr>
          <w:rFonts w:asciiTheme="majorHAnsi" w:hAnsiTheme="majorHAnsi" w:cstheme="minorHAnsi"/>
          <w:i/>
          <w:iCs/>
        </w:rPr>
        <w:t>.</w:t>
      </w:r>
      <w:r w:rsidRPr="00301C85">
        <w:rPr>
          <w:rFonts w:asciiTheme="majorHAnsi" w:hAnsiTheme="majorHAnsi" w:cstheme="minorHAnsi"/>
        </w:rPr>
        <w:t xml:space="preserve"> </w:t>
      </w:r>
    </w:p>
    <w:p w14:paraId="3244474D" w14:textId="77777777" w:rsidR="006C15DA" w:rsidRPr="00301C85" w:rsidRDefault="006C15DA" w:rsidP="006C15DA">
      <w:pPr>
        <w:pStyle w:val="NormalWeb"/>
        <w:spacing w:line="360" w:lineRule="auto"/>
        <w:contextualSpacing/>
        <w:rPr>
          <w:rFonts w:asciiTheme="majorHAnsi" w:hAnsiTheme="majorHAnsi" w:cstheme="minorHAnsi"/>
          <w:highlight w:val="yellow"/>
        </w:rPr>
      </w:pPr>
    </w:p>
    <w:p w14:paraId="00701351" w14:textId="309326F6" w:rsidR="006C15DA" w:rsidRPr="00301C85" w:rsidRDefault="00D12387" w:rsidP="006C15DA">
      <w:pPr>
        <w:pStyle w:val="NormalWeb"/>
        <w:spacing w:line="360" w:lineRule="auto"/>
        <w:contextualSpacing/>
        <w:rPr>
          <w:rFonts w:asciiTheme="majorHAnsi" w:hAnsiTheme="majorHAnsi" w:cstheme="minorHAnsi"/>
          <w:i/>
          <w:iCs/>
        </w:rPr>
      </w:pPr>
      <w:r w:rsidRPr="00301C85">
        <w:rPr>
          <w:rFonts w:asciiTheme="majorHAnsi" w:hAnsiTheme="majorHAnsi" w:cstheme="minorHAnsi"/>
          <w:i/>
          <w:iCs/>
        </w:rPr>
        <w:t xml:space="preserve">5.8.4 </w:t>
      </w:r>
      <w:r w:rsidR="006C15DA" w:rsidRPr="00301C85">
        <w:rPr>
          <w:rFonts w:asciiTheme="majorHAnsi" w:hAnsiTheme="majorHAnsi" w:cstheme="minorHAnsi"/>
          <w:i/>
          <w:iCs/>
        </w:rPr>
        <w:t>Collaborative provision</w:t>
      </w:r>
    </w:p>
    <w:p w14:paraId="66A1C2B2" w14:textId="6E1D9C24" w:rsidR="006C15DA" w:rsidRPr="00301C85" w:rsidRDefault="006C15DA" w:rsidP="088F2921">
      <w:pPr>
        <w:pStyle w:val="NormalWeb"/>
        <w:spacing w:line="360" w:lineRule="auto"/>
        <w:contextualSpacing/>
        <w:rPr>
          <w:rFonts w:asciiTheme="majorHAnsi" w:hAnsiTheme="majorHAnsi" w:cstheme="minorBidi"/>
        </w:rPr>
      </w:pPr>
      <w:r w:rsidRPr="00301C85">
        <w:rPr>
          <w:rFonts w:asciiTheme="majorHAnsi" w:hAnsiTheme="majorHAnsi" w:cstheme="minorBidi"/>
        </w:rPr>
        <w:t>Reference</w:t>
      </w:r>
      <w:r w:rsidR="00DC252B" w:rsidRPr="00301C85">
        <w:rPr>
          <w:rFonts w:asciiTheme="majorHAnsi" w:hAnsiTheme="majorHAnsi" w:cstheme="minorBidi"/>
        </w:rPr>
        <w:t>s</w:t>
      </w:r>
      <w:r w:rsidRPr="00301C85">
        <w:rPr>
          <w:rFonts w:asciiTheme="majorHAnsi" w:hAnsiTheme="majorHAnsi" w:cstheme="minorBidi"/>
        </w:rPr>
        <w:t xml:space="preserve"> to referrals and signposting</w:t>
      </w:r>
      <w:r w:rsidR="00DC252B" w:rsidRPr="00301C85">
        <w:rPr>
          <w:rFonts w:asciiTheme="majorHAnsi" w:hAnsiTheme="majorHAnsi" w:cstheme="minorBidi"/>
        </w:rPr>
        <w:t xml:space="preserve"> to additional or specialist services</w:t>
      </w:r>
      <w:r w:rsidRPr="00301C85">
        <w:rPr>
          <w:rFonts w:asciiTheme="majorHAnsi" w:hAnsiTheme="majorHAnsi" w:cstheme="minorBidi"/>
        </w:rPr>
        <w:t xml:space="preserve"> were common </w:t>
      </w:r>
      <w:r w:rsidR="160515AC" w:rsidRPr="00301C85">
        <w:rPr>
          <w:rFonts w:asciiTheme="majorHAnsi" w:hAnsiTheme="majorHAnsi" w:cstheme="minorBidi"/>
        </w:rPr>
        <w:t xml:space="preserve">during interviews </w:t>
      </w:r>
      <w:proofErr w:type="gramStart"/>
      <w:r w:rsidR="160515AC" w:rsidRPr="00301C85">
        <w:rPr>
          <w:rFonts w:asciiTheme="majorHAnsi" w:hAnsiTheme="majorHAnsi" w:cstheme="minorBidi"/>
        </w:rPr>
        <w:t xml:space="preserve">with </w:t>
      </w:r>
      <w:r w:rsidRPr="00301C85">
        <w:rPr>
          <w:rFonts w:asciiTheme="majorHAnsi" w:hAnsiTheme="majorHAnsi" w:cstheme="minorBidi"/>
        </w:rPr>
        <w:t xml:space="preserve"> practitioners</w:t>
      </w:r>
      <w:proofErr w:type="gramEnd"/>
      <w:r w:rsidRPr="00301C85">
        <w:rPr>
          <w:rFonts w:asciiTheme="majorHAnsi" w:hAnsiTheme="majorHAnsi" w:cstheme="minorBidi"/>
        </w:rPr>
        <w:t xml:space="preserve"> and service leads. However, although the importance of inter-agency working was acknowledged, collaborative practices were not widely reported. Rather, the problematic nature of “fractured services” and funding restrictions and the way that this inevitably leads to poor / mis communication and lack of trust between services, was referred to:</w:t>
      </w:r>
    </w:p>
    <w:p w14:paraId="66B71050" w14:textId="77777777" w:rsidR="006C15DA" w:rsidRPr="00301C85" w:rsidRDefault="006C15DA" w:rsidP="006C15DA">
      <w:pPr>
        <w:pStyle w:val="NormalWeb"/>
        <w:spacing w:line="360" w:lineRule="auto"/>
        <w:contextualSpacing/>
        <w:rPr>
          <w:rFonts w:asciiTheme="majorHAnsi" w:hAnsiTheme="majorHAnsi" w:cstheme="minorHAnsi"/>
        </w:rPr>
      </w:pPr>
    </w:p>
    <w:p w14:paraId="17F9B6B7" w14:textId="046E90FB" w:rsidR="006C15DA" w:rsidRPr="00301C85" w:rsidRDefault="006C15DA" w:rsidP="006C15DA">
      <w:pPr>
        <w:pStyle w:val="NormalWeb"/>
        <w:spacing w:line="360" w:lineRule="auto"/>
        <w:ind w:left="720"/>
        <w:contextualSpacing/>
        <w:rPr>
          <w:rFonts w:asciiTheme="majorHAnsi" w:hAnsiTheme="majorHAnsi" w:cstheme="minorHAnsi"/>
          <w:i/>
          <w:iCs/>
        </w:rPr>
      </w:pPr>
      <w:r w:rsidRPr="00301C85">
        <w:rPr>
          <w:rFonts w:asciiTheme="majorHAnsi" w:hAnsiTheme="majorHAnsi" w:cstheme="minorHAnsi"/>
          <w:i/>
          <w:iCs/>
        </w:rPr>
        <w:t>They said I needed to go to a mental health person and talk to them about it or go to a doctor. And I think they booked me in for like, like they wanted to see if I had ADHD because I got, according to like my family I’ve had it for years; obviously they wanted to know because, obviously, if they knew, they could help me with that. So, they asked me to go and do that, I went to do it, and they had to fill out a form for it. But the school never filled out the form, so I could never go through the actual test</w:t>
      </w:r>
      <w:r w:rsidR="00DF1EF7" w:rsidRPr="00301C85">
        <w:rPr>
          <w:rFonts w:asciiTheme="majorHAnsi" w:hAnsiTheme="majorHAnsi" w:cstheme="minorHAnsi"/>
          <w:i/>
          <w:iCs/>
        </w:rPr>
        <w:t>.</w:t>
      </w:r>
    </w:p>
    <w:p w14:paraId="61E3424D" w14:textId="354C28AC" w:rsidR="006C15DA" w:rsidRPr="00B05269" w:rsidRDefault="006C15DA" w:rsidP="006C15DA">
      <w:pPr>
        <w:spacing w:line="360" w:lineRule="auto"/>
        <w:contextualSpacing/>
        <w:rPr>
          <w:rFonts w:asciiTheme="majorHAnsi" w:hAnsiTheme="majorHAnsi" w:cstheme="minorHAnsi"/>
          <w:b/>
          <w:bCs/>
        </w:rPr>
      </w:pPr>
    </w:p>
    <w:p w14:paraId="45C1173D" w14:textId="5F49FED5" w:rsidR="00DC252B" w:rsidRPr="00B05269" w:rsidRDefault="00DC252B" w:rsidP="088F2921">
      <w:pPr>
        <w:spacing w:line="360" w:lineRule="auto"/>
        <w:contextualSpacing/>
        <w:rPr>
          <w:rFonts w:asciiTheme="majorHAnsi" w:hAnsiTheme="majorHAnsi" w:cstheme="minorBidi"/>
        </w:rPr>
      </w:pPr>
      <w:r w:rsidRPr="00B05269">
        <w:rPr>
          <w:rFonts w:asciiTheme="majorHAnsi" w:hAnsiTheme="majorHAnsi" w:cstheme="minorBidi"/>
        </w:rPr>
        <w:t xml:space="preserve">In addition, the reference some practitioners made to ‘sign-posting’ in respect of these young men may in itself be problematic in some situations given the </w:t>
      </w:r>
      <w:r w:rsidR="007354A7" w:rsidRPr="00B05269">
        <w:rPr>
          <w:rFonts w:asciiTheme="majorHAnsi" w:hAnsiTheme="majorHAnsi" w:cstheme="minorBidi"/>
        </w:rPr>
        <w:t xml:space="preserve">fact that </w:t>
      </w:r>
      <w:r w:rsidR="003357DB" w:rsidRPr="00B05269">
        <w:rPr>
          <w:rFonts w:asciiTheme="majorHAnsi" w:hAnsiTheme="majorHAnsi" w:cstheme="minorBidi"/>
        </w:rPr>
        <w:t xml:space="preserve">for </w:t>
      </w:r>
      <w:r w:rsidR="007354A7" w:rsidRPr="00B05269">
        <w:rPr>
          <w:rFonts w:asciiTheme="majorHAnsi" w:hAnsiTheme="majorHAnsi" w:cstheme="minorBidi"/>
        </w:rPr>
        <w:t>some young people, no</w:t>
      </w:r>
      <w:r w:rsidR="003357DB" w:rsidRPr="00B05269">
        <w:rPr>
          <w:rFonts w:asciiTheme="majorHAnsi" w:hAnsiTheme="majorHAnsi" w:cstheme="minorBidi"/>
        </w:rPr>
        <w:t xml:space="preserve"> one</w:t>
      </w:r>
      <w:r w:rsidR="007354A7" w:rsidRPr="00B05269">
        <w:rPr>
          <w:rFonts w:asciiTheme="majorHAnsi" w:hAnsiTheme="majorHAnsi" w:cstheme="minorBidi"/>
        </w:rPr>
        <w:t xml:space="preserve"> has overall oversight of their </w:t>
      </w:r>
      <w:r w:rsidR="003357DB" w:rsidRPr="00B05269">
        <w:rPr>
          <w:rFonts w:asciiTheme="majorHAnsi" w:hAnsiTheme="majorHAnsi" w:cstheme="minorBidi"/>
        </w:rPr>
        <w:t xml:space="preserve">individual </w:t>
      </w:r>
      <w:r w:rsidR="007354A7" w:rsidRPr="00B05269">
        <w:rPr>
          <w:rFonts w:asciiTheme="majorHAnsi" w:hAnsiTheme="majorHAnsi" w:cstheme="minorBidi"/>
        </w:rPr>
        <w:t xml:space="preserve">needs, wishes and, indeed, care. In such cases, </w:t>
      </w:r>
      <w:r w:rsidR="007354A7" w:rsidRPr="00B05269">
        <w:rPr>
          <w:rFonts w:asciiTheme="majorHAnsi" w:hAnsiTheme="majorHAnsi" w:cstheme="minorBidi"/>
        </w:rPr>
        <w:lastRenderedPageBreak/>
        <w:t xml:space="preserve">the role </w:t>
      </w:r>
      <w:r w:rsidR="003357DB" w:rsidRPr="00B05269">
        <w:rPr>
          <w:rFonts w:asciiTheme="majorHAnsi" w:hAnsiTheme="majorHAnsi" w:cstheme="minorBidi"/>
        </w:rPr>
        <w:t>of</w:t>
      </w:r>
      <w:r w:rsidR="007354A7" w:rsidRPr="00B05269">
        <w:rPr>
          <w:rFonts w:asciiTheme="majorHAnsi" w:hAnsiTheme="majorHAnsi" w:cstheme="minorBidi"/>
        </w:rPr>
        <w:t xml:space="preserve"> a befriender or mentor </w:t>
      </w:r>
      <w:r w:rsidR="4569AE95" w:rsidRPr="00B05269">
        <w:rPr>
          <w:rFonts w:asciiTheme="majorHAnsi" w:hAnsiTheme="majorHAnsi" w:cstheme="minorBidi"/>
        </w:rPr>
        <w:t>doing more than making referrals may be appropriate</w:t>
      </w:r>
      <w:r w:rsidR="3EF5827E" w:rsidRPr="00B05269">
        <w:rPr>
          <w:rFonts w:asciiTheme="majorHAnsi" w:hAnsiTheme="majorHAnsi" w:cstheme="minorBidi"/>
        </w:rPr>
        <w:t xml:space="preserve"> – </w:t>
      </w:r>
      <w:r w:rsidR="4569AE95" w:rsidRPr="00B05269">
        <w:rPr>
          <w:rFonts w:asciiTheme="majorHAnsi" w:hAnsiTheme="majorHAnsi" w:cstheme="minorBidi"/>
        </w:rPr>
        <w:t>some</w:t>
      </w:r>
      <w:r w:rsidR="26DAE28A" w:rsidRPr="00B05269">
        <w:rPr>
          <w:rFonts w:asciiTheme="majorHAnsi" w:hAnsiTheme="majorHAnsi" w:cstheme="minorBidi"/>
        </w:rPr>
        <w:t xml:space="preserve">thing </w:t>
      </w:r>
      <w:r w:rsidR="3EF5827E" w:rsidRPr="00B05269">
        <w:rPr>
          <w:rFonts w:asciiTheme="majorHAnsi" w:hAnsiTheme="majorHAnsi" w:cstheme="minorBidi"/>
        </w:rPr>
        <w:t xml:space="preserve">that goes beyond a traditional key-worker role. </w:t>
      </w:r>
    </w:p>
    <w:p w14:paraId="330BFDF7" w14:textId="77777777" w:rsidR="007354A7" w:rsidRPr="00252AFB" w:rsidRDefault="007354A7" w:rsidP="006C15DA">
      <w:pPr>
        <w:spacing w:line="360" w:lineRule="auto"/>
        <w:contextualSpacing/>
        <w:rPr>
          <w:rFonts w:asciiTheme="majorHAnsi" w:hAnsiTheme="majorHAnsi" w:cstheme="minorHAnsi"/>
          <w:u w:val="single"/>
        </w:rPr>
      </w:pPr>
    </w:p>
    <w:p w14:paraId="66736A2C"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Young men and service providers alike acknowledged frustrations in relation to maintaining boundaries within provision and being responsive to young men’s behaviour and needs. For example, the tension between building trust / relationships with young men and then information sharing was referred to thus:</w:t>
      </w:r>
    </w:p>
    <w:p w14:paraId="74BD10E5" w14:textId="77777777" w:rsidR="006C15DA" w:rsidRPr="00301C85" w:rsidRDefault="006C15DA" w:rsidP="006C15DA">
      <w:pPr>
        <w:pStyle w:val="NormalWeb"/>
        <w:spacing w:line="360" w:lineRule="auto"/>
        <w:contextualSpacing/>
        <w:rPr>
          <w:rFonts w:asciiTheme="majorHAnsi" w:hAnsiTheme="majorHAnsi" w:cstheme="minorHAnsi"/>
          <w:highlight w:val="yellow"/>
        </w:rPr>
      </w:pPr>
    </w:p>
    <w:p w14:paraId="143E0526" w14:textId="04E67310"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iCs/>
        </w:rPr>
        <w:t>[Service name] isn’t a great service. I had no good contact with them . . . they’ve shared my information with my parents without asking me . . . I’ve had a couple of bad experiences with them when I was in school, when I was out of school and when I’ve gone to their place, so, yeah, I don’t like them, full stop</w:t>
      </w:r>
      <w:r w:rsidR="00DF1EF7" w:rsidRPr="00301C85">
        <w:rPr>
          <w:rFonts w:asciiTheme="majorHAnsi" w:hAnsiTheme="majorHAnsi" w:cstheme="minorHAnsi"/>
          <w:i/>
          <w:iCs/>
        </w:rPr>
        <w:t>.</w:t>
      </w:r>
      <w:r w:rsidRPr="00301C85">
        <w:rPr>
          <w:rFonts w:asciiTheme="majorHAnsi" w:hAnsiTheme="majorHAnsi" w:cstheme="minorHAnsi"/>
          <w:i/>
          <w:iCs/>
        </w:rPr>
        <w:t xml:space="preserve"> </w:t>
      </w:r>
    </w:p>
    <w:p w14:paraId="2A584245" w14:textId="77777777" w:rsidR="006C15DA" w:rsidRPr="00301C85" w:rsidRDefault="006C15DA" w:rsidP="006C15DA">
      <w:pPr>
        <w:spacing w:line="360" w:lineRule="auto"/>
        <w:contextualSpacing/>
        <w:rPr>
          <w:rFonts w:asciiTheme="majorHAnsi" w:hAnsiTheme="majorHAnsi" w:cstheme="minorHAnsi"/>
        </w:rPr>
      </w:pPr>
    </w:p>
    <w:p w14:paraId="16F32524" w14:textId="5C5DD92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 xml:space="preserve">The focus on targets and outcomes, and high referral thresholds, were all acknowledged as further restricting effective engagement with young men, particularly in relation to sustained working. Similarly, it was reported that funding for short term projects may result in locally responsive services being </w:t>
      </w:r>
      <w:r w:rsidR="00301C85" w:rsidRPr="00301C85">
        <w:rPr>
          <w:rFonts w:asciiTheme="majorHAnsi" w:hAnsiTheme="majorHAnsi" w:cstheme="minorHAnsi"/>
        </w:rPr>
        <w:t>established but</w:t>
      </w:r>
      <w:r w:rsidRPr="00301C85">
        <w:rPr>
          <w:rFonts w:asciiTheme="majorHAnsi" w:hAnsiTheme="majorHAnsi" w:cstheme="minorHAnsi"/>
        </w:rPr>
        <w:t xml:space="preserve"> would not support the development of longer-term connectedness and relationship building and modelling. One practitioner commented:</w:t>
      </w:r>
    </w:p>
    <w:p w14:paraId="08E481EA" w14:textId="77777777" w:rsidR="006C15DA" w:rsidRPr="00301C85" w:rsidRDefault="006C15DA" w:rsidP="006C15DA">
      <w:pPr>
        <w:pStyle w:val="NormalWeb"/>
        <w:spacing w:line="360" w:lineRule="auto"/>
        <w:ind w:firstLine="720"/>
        <w:contextualSpacing/>
        <w:rPr>
          <w:rFonts w:asciiTheme="majorHAnsi" w:hAnsiTheme="majorHAnsi" w:cstheme="minorHAnsi"/>
          <w:highlight w:val="yellow"/>
        </w:rPr>
      </w:pPr>
    </w:p>
    <w:p w14:paraId="4158AB73" w14:textId="77777777" w:rsidR="006C15DA" w:rsidRPr="00301C85" w:rsidRDefault="006C15DA" w:rsidP="006C15DA">
      <w:pPr>
        <w:pStyle w:val="NormalWeb"/>
        <w:spacing w:line="360" w:lineRule="auto"/>
        <w:ind w:left="720"/>
        <w:contextualSpacing/>
        <w:rPr>
          <w:rFonts w:asciiTheme="majorHAnsi" w:hAnsiTheme="majorHAnsi" w:cstheme="minorHAnsi"/>
          <w:i/>
          <w:iCs/>
          <w:highlight w:val="yellow"/>
        </w:rPr>
      </w:pPr>
      <w:r w:rsidRPr="00301C85">
        <w:rPr>
          <w:rFonts w:asciiTheme="majorHAnsi" w:hAnsiTheme="majorHAnsi" w:cstheme="minorHAnsi"/>
          <w:i/>
          <w:iCs/>
        </w:rPr>
        <w:t>There isn’t enough preventative work that happens, across the board for young people, I don’t believe there’s enough there. Statutory services come in far too late.</w:t>
      </w:r>
    </w:p>
    <w:p w14:paraId="01B63286" w14:textId="77777777" w:rsidR="006C15DA" w:rsidRPr="00301C85" w:rsidRDefault="006C15DA" w:rsidP="006C15DA">
      <w:pPr>
        <w:pStyle w:val="NormalWeb"/>
        <w:spacing w:line="360" w:lineRule="auto"/>
        <w:contextualSpacing/>
        <w:rPr>
          <w:rFonts w:asciiTheme="majorHAnsi" w:hAnsiTheme="majorHAnsi" w:cstheme="minorHAnsi"/>
        </w:rPr>
      </w:pPr>
    </w:p>
    <w:p w14:paraId="45BCE6B1" w14:textId="1AB932FA" w:rsidR="006C15DA" w:rsidRPr="00301C85" w:rsidRDefault="00D12387" w:rsidP="006C15DA">
      <w:pPr>
        <w:pStyle w:val="NormalWeb"/>
        <w:spacing w:line="360" w:lineRule="auto"/>
        <w:contextualSpacing/>
        <w:rPr>
          <w:rFonts w:asciiTheme="majorHAnsi" w:hAnsiTheme="majorHAnsi" w:cstheme="minorHAnsi"/>
          <w:i/>
          <w:iCs/>
        </w:rPr>
      </w:pPr>
      <w:r w:rsidRPr="00301C85">
        <w:rPr>
          <w:rFonts w:asciiTheme="majorHAnsi" w:hAnsiTheme="majorHAnsi" w:cstheme="minorHAnsi"/>
          <w:i/>
          <w:iCs/>
        </w:rPr>
        <w:t xml:space="preserve">5.8.5 </w:t>
      </w:r>
      <w:r w:rsidR="006C15DA" w:rsidRPr="00301C85">
        <w:rPr>
          <w:rFonts w:asciiTheme="majorHAnsi" w:hAnsiTheme="majorHAnsi" w:cstheme="minorHAnsi"/>
          <w:i/>
          <w:iCs/>
        </w:rPr>
        <w:t>Valuing provision</w:t>
      </w:r>
    </w:p>
    <w:p w14:paraId="7AEAEDFD"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t>Young men were critical of some services:</w:t>
      </w:r>
    </w:p>
    <w:p w14:paraId="21B90404" w14:textId="77777777" w:rsidR="006C15DA" w:rsidRPr="00301C85" w:rsidRDefault="006C15DA" w:rsidP="006C15DA">
      <w:pPr>
        <w:pStyle w:val="NormalWeb"/>
        <w:spacing w:line="360" w:lineRule="auto"/>
        <w:contextualSpacing/>
        <w:rPr>
          <w:rFonts w:asciiTheme="majorHAnsi" w:hAnsiTheme="majorHAnsi" w:cstheme="minorHAnsi"/>
        </w:rPr>
      </w:pPr>
    </w:p>
    <w:p w14:paraId="51DBBFBB" w14:textId="69C954CA" w:rsidR="006C15DA" w:rsidRPr="00301C85" w:rsidRDefault="006C15DA" w:rsidP="006C15DA">
      <w:pPr>
        <w:pStyle w:val="NormalWeb"/>
        <w:spacing w:line="360" w:lineRule="auto"/>
        <w:ind w:left="720"/>
        <w:contextualSpacing/>
        <w:rPr>
          <w:rFonts w:asciiTheme="majorHAnsi" w:hAnsiTheme="majorHAnsi" w:cstheme="minorHAnsi"/>
        </w:rPr>
      </w:pPr>
      <w:r w:rsidRPr="00301C85">
        <w:rPr>
          <w:rFonts w:asciiTheme="majorHAnsi" w:hAnsiTheme="majorHAnsi" w:cstheme="minorHAnsi"/>
          <w:i/>
        </w:rPr>
        <w:t>[It]</w:t>
      </w:r>
      <w:r w:rsidRPr="00301C85">
        <w:rPr>
          <w:rFonts w:asciiTheme="majorHAnsi" w:hAnsiTheme="majorHAnsi" w:cstheme="minorHAnsi"/>
        </w:rPr>
        <w:t xml:space="preserve"> </w:t>
      </w:r>
      <w:r w:rsidRPr="00301C85">
        <w:rPr>
          <w:rFonts w:asciiTheme="majorHAnsi" w:hAnsiTheme="majorHAnsi" w:cstheme="minorHAnsi"/>
          <w:i/>
          <w:iCs/>
        </w:rPr>
        <w:t xml:space="preserve">is mainly volunteer based so you’re sort of, you’re going to struggle but maybe not, not every, in my opinion, not every man there who’s a volunteer has as much value as the </w:t>
      </w:r>
      <w:r w:rsidRPr="00301C85">
        <w:rPr>
          <w:rFonts w:asciiTheme="majorHAnsi" w:hAnsiTheme="majorHAnsi" w:cstheme="minorHAnsi"/>
          <w:i/>
          <w:iCs/>
        </w:rPr>
        <w:lastRenderedPageBreak/>
        <w:t>others, if that makes sense . . . maybe some of them are sort of more a more natural choice for a mentor than others</w:t>
      </w:r>
      <w:r w:rsidR="00DF1EF7" w:rsidRPr="00301C85">
        <w:rPr>
          <w:rFonts w:asciiTheme="majorHAnsi" w:hAnsiTheme="majorHAnsi" w:cstheme="minorHAnsi"/>
        </w:rPr>
        <w:t>.</w:t>
      </w:r>
    </w:p>
    <w:p w14:paraId="76573E33" w14:textId="77777777" w:rsidR="006C15DA" w:rsidRPr="00301C85" w:rsidRDefault="006C15DA" w:rsidP="006C15DA">
      <w:pPr>
        <w:pStyle w:val="Caption1"/>
        <w:spacing w:after="0" w:line="360" w:lineRule="auto"/>
        <w:ind w:left="720"/>
        <w:contextualSpacing/>
        <w:jc w:val="left"/>
        <w:rPr>
          <w:rFonts w:asciiTheme="majorHAnsi" w:hAnsiTheme="majorHAnsi" w:cstheme="minorHAnsi"/>
          <w:sz w:val="24"/>
        </w:rPr>
      </w:pPr>
    </w:p>
    <w:p w14:paraId="0BFA1F7E" w14:textId="77777777" w:rsidR="006C15DA" w:rsidRPr="00301C85" w:rsidRDefault="006C15DA" w:rsidP="006C15DA">
      <w:pPr>
        <w:spacing w:line="360" w:lineRule="auto"/>
        <w:ind w:left="720"/>
        <w:contextualSpacing/>
        <w:rPr>
          <w:rFonts w:asciiTheme="majorHAnsi" w:hAnsiTheme="majorHAnsi" w:cstheme="minorHAnsi"/>
        </w:rPr>
      </w:pPr>
      <w:r w:rsidRPr="00301C85">
        <w:rPr>
          <w:rFonts w:asciiTheme="majorHAnsi" w:hAnsiTheme="majorHAnsi" w:cstheme="minorHAnsi"/>
          <w:i/>
          <w:iCs/>
        </w:rPr>
        <w:t>I thought [service name] was absolutely terrible, it was just so, so, so shockingly bad with people who seem to you know, excuse my French, that absolutely do not give a shit in the slightest you know; and were just there just purely…, as you know, I get it, it’s their job, but at the same time I feel like you know, fucking hell!!</w:t>
      </w:r>
      <w:r w:rsidRPr="00301C85">
        <w:rPr>
          <w:rFonts w:asciiTheme="majorHAnsi" w:hAnsiTheme="majorHAnsi" w:cstheme="minorHAnsi"/>
        </w:rPr>
        <w:t xml:space="preserve"> </w:t>
      </w:r>
    </w:p>
    <w:p w14:paraId="1596ED15" w14:textId="35AB47B7" w:rsidR="006C15DA" w:rsidRPr="00301C85" w:rsidRDefault="006C15DA" w:rsidP="006C15DA">
      <w:pPr>
        <w:spacing w:line="360" w:lineRule="auto"/>
        <w:contextualSpacing/>
        <w:rPr>
          <w:rFonts w:asciiTheme="majorHAnsi" w:hAnsiTheme="majorHAnsi" w:cstheme="minorHAnsi"/>
        </w:rPr>
      </w:pPr>
    </w:p>
    <w:p w14:paraId="06EB161E" w14:textId="7F1D0C2E" w:rsidR="00D12387" w:rsidRPr="00301C85" w:rsidRDefault="00D12387" w:rsidP="006C15DA">
      <w:pPr>
        <w:spacing w:line="360" w:lineRule="auto"/>
        <w:contextualSpacing/>
        <w:rPr>
          <w:rFonts w:asciiTheme="majorHAnsi" w:hAnsiTheme="majorHAnsi" w:cstheme="minorHAnsi"/>
        </w:rPr>
      </w:pPr>
    </w:p>
    <w:p w14:paraId="18694CD4" w14:textId="77777777" w:rsidR="00D12387" w:rsidRPr="00EE05AA" w:rsidRDefault="00D12387" w:rsidP="006C15DA">
      <w:pPr>
        <w:spacing w:line="360" w:lineRule="auto"/>
        <w:contextualSpacing/>
        <w:rPr>
          <w:rFonts w:asciiTheme="majorHAnsi" w:hAnsiTheme="majorHAnsi" w:cstheme="minorHAnsi"/>
        </w:rPr>
      </w:pPr>
    </w:p>
    <w:p w14:paraId="5A11FCF8" w14:textId="77777777" w:rsidR="006C15DA" w:rsidRPr="00EE05AA" w:rsidRDefault="006C15DA" w:rsidP="006C15DA">
      <w:pPr>
        <w:spacing w:line="360" w:lineRule="auto"/>
        <w:contextualSpacing/>
        <w:rPr>
          <w:rFonts w:asciiTheme="majorHAnsi" w:hAnsiTheme="majorHAnsi" w:cstheme="minorHAnsi"/>
        </w:rPr>
      </w:pPr>
      <w:r w:rsidRPr="00EE05AA">
        <w:rPr>
          <w:rFonts w:asciiTheme="majorHAnsi" w:hAnsiTheme="majorHAnsi" w:cstheme="minorHAnsi"/>
        </w:rPr>
        <w:t>Elsewhere, the young men were full of praise:</w:t>
      </w:r>
    </w:p>
    <w:p w14:paraId="7F2294BA" w14:textId="77777777" w:rsidR="006C15DA" w:rsidRPr="00EE05AA" w:rsidRDefault="006C15DA" w:rsidP="006C15DA">
      <w:pPr>
        <w:spacing w:line="360" w:lineRule="auto"/>
        <w:contextualSpacing/>
        <w:rPr>
          <w:rFonts w:asciiTheme="majorHAnsi" w:hAnsiTheme="majorHAnsi" w:cstheme="minorHAnsi"/>
        </w:rPr>
      </w:pPr>
    </w:p>
    <w:p w14:paraId="6CB08D38" w14:textId="77777777" w:rsidR="006C15DA" w:rsidRPr="00301C85" w:rsidRDefault="006C15DA" w:rsidP="006C15DA">
      <w:pPr>
        <w:spacing w:line="360" w:lineRule="auto"/>
        <w:ind w:left="720"/>
        <w:contextualSpacing/>
        <w:rPr>
          <w:rFonts w:asciiTheme="majorHAnsi" w:hAnsiTheme="majorHAnsi" w:cstheme="minorHAnsi"/>
        </w:rPr>
      </w:pPr>
      <w:r w:rsidRPr="00301C85">
        <w:rPr>
          <w:rFonts w:asciiTheme="majorHAnsi" w:hAnsiTheme="majorHAnsi" w:cstheme="minorHAnsi"/>
          <w:i/>
          <w:iCs/>
        </w:rPr>
        <w:t>I could not go for two years and then walk through the door and I know that I would get welcomed like I was there every day</w:t>
      </w:r>
      <w:r w:rsidRPr="00301C85">
        <w:rPr>
          <w:rFonts w:asciiTheme="majorHAnsi" w:hAnsiTheme="majorHAnsi" w:cstheme="minorHAnsi"/>
        </w:rPr>
        <w:t xml:space="preserve"> </w:t>
      </w:r>
    </w:p>
    <w:p w14:paraId="4C267BAE" w14:textId="3CCEE8E3" w:rsidR="006C15DA" w:rsidRPr="00301C85" w:rsidRDefault="00301C85" w:rsidP="006C15DA">
      <w:pPr>
        <w:spacing w:line="360" w:lineRule="auto"/>
        <w:ind w:left="720"/>
        <w:contextualSpacing/>
        <w:rPr>
          <w:rFonts w:asciiTheme="majorHAnsi" w:hAnsiTheme="majorHAnsi" w:cstheme="minorHAnsi"/>
        </w:rPr>
      </w:pPr>
      <w:r w:rsidRPr="00301C85">
        <w:rPr>
          <w:rFonts w:asciiTheme="majorHAnsi" w:hAnsiTheme="majorHAnsi" w:cstheme="minorHAnsi"/>
          <w:i/>
          <w:iCs/>
        </w:rPr>
        <w:t>I think it was the openness and you know, I think that they were very you know, without saying that you know, they weren’t, don’t get me wrong they weren’t saying, “</w:t>
      </w:r>
      <w:r>
        <w:rPr>
          <w:rFonts w:asciiTheme="majorHAnsi" w:hAnsiTheme="majorHAnsi" w:cstheme="minorHAnsi"/>
          <w:i/>
          <w:iCs/>
        </w:rPr>
        <w:t>O</w:t>
      </w:r>
      <w:r w:rsidRPr="00301C85">
        <w:rPr>
          <w:rFonts w:asciiTheme="majorHAnsi" w:hAnsiTheme="majorHAnsi" w:cstheme="minorHAnsi"/>
          <w:i/>
          <w:iCs/>
        </w:rPr>
        <w:t>h you’ve done nothing”, it wasn’t a case of them saying, “Oh no poor you haven’t done anything wrong,” I mean you know, I accept, but you know, I had done something wrong but the difference was that you know, there are people there that were also willing to share their own experiences and people were sort of sharing that you know, they’d also done things that they weren’t proud of, they weren’t 100% happy with their backgrounds and this is coming from the mentors and the staff and it was like oh wow, like these people are actually real.</w:t>
      </w:r>
      <w:r w:rsidRPr="00301C85">
        <w:rPr>
          <w:rFonts w:asciiTheme="majorHAnsi" w:hAnsiTheme="majorHAnsi" w:cstheme="minorHAnsi"/>
        </w:rPr>
        <w:t xml:space="preserve"> </w:t>
      </w:r>
    </w:p>
    <w:p w14:paraId="7B63900F" w14:textId="77777777" w:rsidR="006C15DA" w:rsidRPr="00301C85" w:rsidRDefault="006C15DA" w:rsidP="006C15DA">
      <w:pPr>
        <w:spacing w:line="360" w:lineRule="auto"/>
        <w:ind w:left="720"/>
        <w:contextualSpacing/>
        <w:rPr>
          <w:rFonts w:asciiTheme="majorHAnsi" w:hAnsiTheme="majorHAnsi" w:cstheme="minorHAnsi"/>
        </w:rPr>
      </w:pPr>
    </w:p>
    <w:p w14:paraId="359A8516" w14:textId="7025D97D" w:rsidR="006C15DA" w:rsidRPr="00301C85" w:rsidRDefault="006C15DA" w:rsidP="006C15DA">
      <w:pPr>
        <w:spacing w:line="360" w:lineRule="auto"/>
        <w:ind w:left="720"/>
        <w:contextualSpacing/>
        <w:rPr>
          <w:rFonts w:asciiTheme="majorHAnsi" w:hAnsiTheme="majorHAnsi" w:cstheme="minorHAnsi"/>
        </w:rPr>
      </w:pPr>
      <w:r w:rsidRPr="00301C85">
        <w:rPr>
          <w:rFonts w:asciiTheme="majorHAnsi" w:hAnsiTheme="majorHAnsi" w:cstheme="minorHAnsi"/>
          <w:i/>
          <w:iCs/>
        </w:rPr>
        <w:t>I can’t stress enough how good [service name] has been how and much help they have been</w:t>
      </w:r>
      <w:r w:rsidR="00DF1EF7" w:rsidRPr="00301C85">
        <w:rPr>
          <w:rFonts w:asciiTheme="majorHAnsi" w:hAnsiTheme="majorHAnsi" w:cstheme="minorHAnsi"/>
          <w:i/>
          <w:iCs/>
        </w:rPr>
        <w:t>.</w:t>
      </w:r>
      <w:r w:rsidRPr="00301C85">
        <w:rPr>
          <w:rFonts w:asciiTheme="majorHAnsi" w:hAnsiTheme="majorHAnsi" w:cstheme="minorHAnsi"/>
        </w:rPr>
        <w:t xml:space="preserve"> </w:t>
      </w:r>
    </w:p>
    <w:p w14:paraId="50CFBB8F" w14:textId="77777777" w:rsidR="00D12387" w:rsidRPr="00301C85" w:rsidRDefault="00D12387" w:rsidP="006C15DA">
      <w:pPr>
        <w:spacing w:line="360" w:lineRule="auto"/>
        <w:ind w:left="720"/>
        <w:contextualSpacing/>
        <w:rPr>
          <w:rFonts w:asciiTheme="majorHAnsi" w:hAnsiTheme="majorHAnsi"/>
          <w:highlight w:val="yellow"/>
        </w:rPr>
      </w:pPr>
    </w:p>
    <w:p w14:paraId="03F07DBB" w14:textId="77777777" w:rsidR="006C15DA" w:rsidRPr="00301C85" w:rsidRDefault="006C15DA" w:rsidP="006C15DA">
      <w:pPr>
        <w:pStyle w:val="NormalWeb"/>
        <w:spacing w:line="360" w:lineRule="auto"/>
        <w:contextualSpacing/>
        <w:rPr>
          <w:rFonts w:asciiTheme="majorHAnsi" w:hAnsiTheme="majorHAnsi" w:cstheme="minorHAnsi"/>
        </w:rPr>
      </w:pPr>
      <w:r w:rsidRPr="00301C85">
        <w:rPr>
          <w:rFonts w:asciiTheme="majorHAnsi" w:hAnsiTheme="majorHAnsi" w:cstheme="minorHAnsi"/>
        </w:rPr>
        <w:lastRenderedPageBreak/>
        <w:t xml:space="preserve">The young men interviewed valued services which were transparent and consistent in the organisation and delivery; where issues of access, boundaries, understanding and flexibility were maintained, and which placed young men at the centre of their organisation and service model. Whist this was not an explicit focus for the research, it is not unreasonable conjecture to suggest that these qualities and attributes might have been in short supply, elsewhere in their complex and at times, fractured lives. </w:t>
      </w:r>
    </w:p>
    <w:p w14:paraId="38B5BB8C" w14:textId="2EE8B730" w:rsidR="007813F2" w:rsidRPr="00301C85" w:rsidRDefault="007813F2" w:rsidP="006C15DA">
      <w:pPr>
        <w:pStyle w:val="NormalWeb"/>
        <w:spacing w:line="360" w:lineRule="auto"/>
        <w:ind w:firstLine="720"/>
        <w:contextualSpacing/>
        <w:rPr>
          <w:rFonts w:asciiTheme="majorHAnsi" w:hAnsiTheme="majorHAnsi" w:cstheme="minorHAnsi"/>
        </w:rPr>
      </w:pPr>
    </w:p>
    <w:p w14:paraId="30C8714C" w14:textId="49F45384" w:rsidR="007813F2" w:rsidRPr="00301C85" w:rsidRDefault="007813F2" w:rsidP="006C15DA">
      <w:pPr>
        <w:pStyle w:val="NormalWeb"/>
        <w:spacing w:line="360" w:lineRule="auto"/>
        <w:ind w:firstLine="720"/>
        <w:contextualSpacing/>
        <w:rPr>
          <w:rFonts w:asciiTheme="majorHAnsi" w:hAnsiTheme="majorHAnsi" w:cstheme="minorHAnsi"/>
        </w:rPr>
      </w:pPr>
    </w:p>
    <w:p w14:paraId="3D34D169" w14:textId="2E15C9A3" w:rsidR="00301C85" w:rsidRDefault="00301C85" w:rsidP="006C15DA">
      <w:pPr>
        <w:pStyle w:val="NormalWeb"/>
        <w:spacing w:line="360" w:lineRule="auto"/>
        <w:ind w:firstLine="720"/>
        <w:contextualSpacing/>
        <w:rPr>
          <w:rFonts w:asciiTheme="majorHAnsi" w:hAnsiTheme="majorHAnsi" w:cstheme="minorHAnsi"/>
          <w:sz w:val="22"/>
          <w:szCs w:val="22"/>
        </w:rPr>
      </w:pPr>
    </w:p>
    <w:p w14:paraId="14E54936" w14:textId="77777777" w:rsidR="00301C85" w:rsidRPr="00EE05AA" w:rsidRDefault="00301C85" w:rsidP="006C15DA">
      <w:pPr>
        <w:pStyle w:val="NormalWeb"/>
        <w:spacing w:line="360" w:lineRule="auto"/>
        <w:ind w:firstLine="720"/>
        <w:contextualSpacing/>
        <w:rPr>
          <w:rFonts w:asciiTheme="majorHAnsi" w:hAnsiTheme="majorHAnsi" w:cstheme="minorHAnsi"/>
          <w:sz w:val="22"/>
          <w:szCs w:val="22"/>
        </w:rPr>
      </w:pPr>
    </w:p>
    <w:p w14:paraId="6896290D" w14:textId="77777777" w:rsidR="006C15DA" w:rsidRPr="00EE05AA" w:rsidRDefault="006C15DA" w:rsidP="006C15DA">
      <w:pPr>
        <w:pBdr>
          <w:top w:val="single" w:sz="4" w:space="1" w:color="auto"/>
          <w:left w:val="single" w:sz="4" w:space="4" w:color="auto"/>
          <w:bottom w:val="single" w:sz="4" w:space="1" w:color="auto"/>
          <w:right w:val="single" w:sz="4" w:space="4" w:color="auto"/>
        </w:pBdr>
        <w:shd w:val="clear" w:color="auto" w:fill="92CDDC" w:themeFill="accent5" w:themeFillTint="99"/>
        <w:spacing w:line="360" w:lineRule="auto"/>
        <w:contextualSpacing/>
        <w:rPr>
          <w:rFonts w:asciiTheme="majorHAnsi" w:hAnsiTheme="majorHAnsi" w:cstheme="minorHAnsi"/>
          <w:b/>
          <w:bCs/>
          <w:i/>
          <w:iCs/>
          <w:color w:val="002060"/>
        </w:rPr>
      </w:pPr>
      <w:r w:rsidRPr="00EE05AA">
        <w:rPr>
          <w:rFonts w:asciiTheme="majorHAnsi" w:hAnsiTheme="majorHAnsi" w:cstheme="minorHAnsi"/>
          <w:b/>
          <w:bCs/>
          <w:i/>
          <w:iCs/>
          <w:color w:val="002060"/>
        </w:rPr>
        <w:t>Implications for practice</w:t>
      </w:r>
    </w:p>
    <w:p w14:paraId="63B1C86A" w14:textId="77777777" w:rsidR="006C15DA" w:rsidRPr="00EE05AA" w:rsidRDefault="006C15DA" w:rsidP="0080697E">
      <w:pPr>
        <w:numPr>
          <w:ilvl w:val="0"/>
          <w:numId w:val="11"/>
        </w:num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ind w:left="360"/>
        <w:contextualSpacing/>
        <w:rPr>
          <w:rFonts w:asciiTheme="majorHAnsi" w:hAnsiTheme="majorHAnsi" w:cstheme="minorHAnsi"/>
        </w:rPr>
      </w:pPr>
      <w:r w:rsidRPr="00EE05AA">
        <w:rPr>
          <w:rFonts w:asciiTheme="majorHAnsi" w:hAnsiTheme="majorHAnsi" w:cstheme="minorHAnsi"/>
        </w:rPr>
        <w:t>Services to develop clear protocols for working and engaging with young men which are held and adhered consistently to within teams</w:t>
      </w:r>
    </w:p>
    <w:p w14:paraId="36626B8A"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contextualSpacing/>
        <w:rPr>
          <w:rFonts w:asciiTheme="majorHAnsi" w:hAnsiTheme="majorHAnsi" w:cstheme="minorHAnsi"/>
        </w:rPr>
      </w:pPr>
    </w:p>
    <w:p w14:paraId="78C46F96" w14:textId="77777777" w:rsidR="006C15DA" w:rsidRPr="00EE05AA" w:rsidRDefault="006C15DA" w:rsidP="0080697E">
      <w:pPr>
        <w:numPr>
          <w:ilvl w:val="0"/>
          <w:numId w:val="11"/>
        </w:num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ind w:left="360"/>
        <w:contextualSpacing/>
        <w:rPr>
          <w:rFonts w:asciiTheme="majorHAnsi" w:hAnsiTheme="majorHAnsi" w:cstheme="minorHAnsi"/>
        </w:rPr>
      </w:pPr>
      <w:r w:rsidRPr="00EE05AA">
        <w:rPr>
          <w:rFonts w:asciiTheme="majorHAnsi" w:hAnsiTheme="majorHAnsi" w:cstheme="minorHAnsi"/>
        </w:rPr>
        <w:t>Commitment to be made to strategies which foster inter-agency working, from signposting/referring through to collaborative provision to meet specific need; support to be given to practitioners to support such agility and “boundary spanning”</w:t>
      </w:r>
    </w:p>
    <w:p w14:paraId="22F9C142"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contextualSpacing/>
        <w:rPr>
          <w:rFonts w:asciiTheme="majorHAnsi" w:hAnsiTheme="majorHAnsi" w:cstheme="minorHAnsi"/>
        </w:rPr>
      </w:pPr>
    </w:p>
    <w:p w14:paraId="6277CCE1" w14:textId="77777777" w:rsidR="006C15DA" w:rsidRPr="00EE05AA" w:rsidRDefault="006C15DA" w:rsidP="0080697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ind w:left="360"/>
        <w:rPr>
          <w:rFonts w:asciiTheme="majorHAnsi" w:hAnsiTheme="majorHAnsi" w:cstheme="minorHAnsi"/>
        </w:rPr>
      </w:pPr>
      <w:r w:rsidRPr="00EE05AA">
        <w:rPr>
          <w:rFonts w:asciiTheme="majorHAnsi" w:hAnsiTheme="majorHAnsi" w:cstheme="minorHAnsi"/>
        </w:rPr>
        <w:t>Consider furthering key-worker models and strategies for services for young men who are engaged with differing service provision</w:t>
      </w:r>
    </w:p>
    <w:p w14:paraId="28FBADA7" w14:textId="77777777" w:rsidR="006C15DA" w:rsidRPr="00EE05AA" w:rsidRDefault="006C15DA" w:rsidP="0080697E">
      <w:p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contextualSpacing/>
        <w:rPr>
          <w:rFonts w:asciiTheme="majorHAnsi" w:hAnsiTheme="majorHAnsi" w:cstheme="minorHAnsi"/>
        </w:rPr>
      </w:pPr>
    </w:p>
    <w:p w14:paraId="5A41B84F" w14:textId="77777777" w:rsidR="006C15DA" w:rsidRPr="00EE05AA" w:rsidRDefault="006C15DA" w:rsidP="0080697E">
      <w:pPr>
        <w:numPr>
          <w:ilvl w:val="0"/>
          <w:numId w:val="11"/>
        </w:numPr>
        <w:pBdr>
          <w:top w:val="single" w:sz="4" w:space="1" w:color="auto"/>
          <w:left w:val="single" w:sz="4" w:space="4" w:color="auto"/>
          <w:bottom w:val="single" w:sz="4" w:space="1" w:color="auto"/>
          <w:right w:val="single" w:sz="4" w:space="4" w:color="auto"/>
        </w:pBdr>
        <w:shd w:val="clear" w:color="auto" w:fill="D3FFD9"/>
        <w:tabs>
          <w:tab w:val="left" w:pos="993"/>
        </w:tabs>
        <w:spacing w:line="360" w:lineRule="auto"/>
        <w:ind w:left="360"/>
        <w:contextualSpacing/>
        <w:rPr>
          <w:rFonts w:asciiTheme="majorHAnsi" w:hAnsiTheme="majorHAnsi" w:cstheme="minorHAnsi"/>
        </w:rPr>
      </w:pPr>
      <w:r w:rsidRPr="00EE05AA">
        <w:rPr>
          <w:rFonts w:asciiTheme="majorHAnsi" w:hAnsiTheme="majorHAnsi" w:cstheme="minorHAnsi"/>
        </w:rPr>
        <w:t xml:space="preserve">Maintain openness and awareness of how “threshold” funding strategies can disadvantage young men in need </w:t>
      </w:r>
    </w:p>
    <w:p w14:paraId="264883F8" w14:textId="77777777" w:rsidR="006C15DA" w:rsidRPr="00EE05AA" w:rsidRDefault="006C15DA" w:rsidP="006C15DA">
      <w:pPr>
        <w:spacing w:after="160" w:line="259" w:lineRule="auto"/>
        <w:rPr>
          <w:rFonts w:asciiTheme="majorHAnsi" w:hAnsiTheme="majorHAnsi" w:cstheme="minorHAnsi"/>
        </w:rPr>
      </w:pPr>
      <w:r w:rsidRPr="00EE05AA">
        <w:rPr>
          <w:rFonts w:asciiTheme="majorHAnsi" w:hAnsiTheme="majorHAnsi" w:cstheme="minorHAnsi"/>
        </w:rPr>
        <w:t xml:space="preserve"> </w:t>
      </w:r>
    </w:p>
    <w:p w14:paraId="46FB8FB2" w14:textId="77777777" w:rsidR="006C15DA" w:rsidRPr="00EE05AA" w:rsidRDefault="006C15DA" w:rsidP="006C15DA">
      <w:pPr>
        <w:spacing w:line="360" w:lineRule="auto"/>
        <w:contextualSpacing/>
        <w:rPr>
          <w:rFonts w:asciiTheme="majorHAnsi" w:hAnsiTheme="majorHAnsi" w:cstheme="minorHAnsi"/>
        </w:rPr>
      </w:pPr>
    </w:p>
    <w:p w14:paraId="78E04AAB" w14:textId="77777777" w:rsidR="00110FF2" w:rsidRPr="007124DA" w:rsidRDefault="00110FF2" w:rsidP="007124DA">
      <w:pPr>
        <w:rPr>
          <w:rFonts w:asciiTheme="majorHAnsi" w:hAnsiTheme="majorHAnsi"/>
          <w:i/>
          <w:iCs/>
        </w:rPr>
      </w:pPr>
    </w:p>
    <w:p w14:paraId="64C9FE0D" w14:textId="77777777" w:rsidR="00301C85" w:rsidRDefault="00301C85">
      <w:pPr>
        <w:rPr>
          <w:rFonts w:asciiTheme="majorHAnsi" w:hAnsiTheme="majorHAnsi"/>
          <w:b/>
          <w:bCs/>
          <w:u w:val="single"/>
        </w:rPr>
      </w:pPr>
      <w:r>
        <w:rPr>
          <w:rFonts w:asciiTheme="majorHAnsi" w:hAnsiTheme="majorHAnsi"/>
          <w:b/>
          <w:bCs/>
          <w:u w:val="single"/>
        </w:rPr>
        <w:br w:type="page"/>
      </w:r>
    </w:p>
    <w:p w14:paraId="4357406A" w14:textId="525A144F" w:rsidR="00EE05AA" w:rsidRPr="00C832CB" w:rsidRDefault="00EE05AA" w:rsidP="00C832CB">
      <w:pPr>
        <w:pStyle w:val="ListParagraph"/>
        <w:numPr>
          <w:ilvl w:val="0"/>
          <w:numId w:val="23"/>
        </w:numPr>
        <w:spacing w:line="360" w:lineRule="auto"/>
        <w:rPr>
          <w:rFonts w:asciiTheme="majorHAnsi" w:hAnsiTheme="majorHAnsi"/>
          <w:b/>
          <w:bCs/>
          <w:u w:val="single"/>
        </w:rPr>
      </w:pPr>
      <w:r w:rsidRPr="00C832CB">
        <w:rPr>
          <w:rFonts w:asciiTheme="majorHAnsi" w:hAnsiTheme="majorHAnsi"/>
          <w:b/>
          <w:bCs/>
          <w:u w:val="single"/>
        </w:rPr>
        <w:lastRenderedPageBreak/>
        <w:t>Conclusions</w:t>
      </w:r>
    </w:p>
    <w:p w14:paraId="6A218A83" w14:textId="77777777" w:rsidR="00110FF2" w:rsidRPr="000414B2" w:rsidRDefault="00110FF2" w:rsidP="00110FF2">
      <w:pPr>
        <w:pStyle w:val="ListParagraph"/>
        <w:spacing w:line="360" w:lineRule="auto"/>
        <w:rPr>
          <w:rFonts w:asciiTheme="majorHAnsi" w:hAnsiTheme="majorHAnsi"/>
          <w:b/>
          <w:bCs/>
          <w:u w:val="single"/>
        </w:rPr>
      </w:pPr>
    </w:p>
    <w:p w14:paraId="054EE978" w14:textId="132CA322" w:rsidR="00EE05AA" w:rsidRPr="00EE05AA" w:rsidRDefault="00EE05AA" w:rsidP="088F2921">
      <w:pPr>
        <w:spacing w:line="360" w:lineRule="auto"/>
        <w:contextualSpacing/>
        <w:rPr>
          <w:rFonts w:asciiTheme="majorHAnsi" w:hAnsiTheme="majorHAnsi"/>
        </w:rPr>
      </w:pPr>
      <w:r w:rsidRPr="088F2921">
        <w:rPr>
          <w:rFonts w:asciiTheme="majorHAnsi" w:hAnsiTheme="majorHAnsi"/>
        </w:rPr>
        <w:t xml:space="preserve">There are many conclusions to reach from this project, some arising directly from the data collected and others from a reflection on the research process and context – structurally, geographically and temporally. Firstly, we present a summary of findings from the interviews with service managers / leaders and practitioners and of course with young men themselves. We then move on to consider, the research process itself, including </w:t>
      </w:r>
      <w:bookmarkStart w:id="8" w:name="_Hlk58925619"/>
      <w:r w:rsidRPr="088F2921">
        <w:rPr>
          <w:rFonts w:asciiTheme="majorHAnsi" w:hAnsiTheme="majorHAnsi"/>
        </w:rPr>
        <w:t>access afforded to locally held records, the sample of service personnel and young men interviewed and wider issues relating to the context in which the research was conducted</w:t>
      </w:r>
      <w:bookmarkEnd w:id="8"/>
      <w:r w:rsidRPr="088F2921">
        <w:rPr>
          <w:rFonts w:asciiTheme="majorHAnsi" w:hAnsiTheme="majorHAnsi"/>
        </w:rPr>
        <w:t>.  We conclude with a summary of implications and recommendations for future practices, including possible pilot practice developments and future research</w:t>
      </w:r>
      <w:r w:rsidR="2AF9F4CF" w:rsidRPr="088F2921">
        <w:rPr>
          <w:rFonts w:asciiTheme="majorHAnsi" w:hAnsiTheme="majorHAnsi"/>
        </w:rPr>
        <w:t xml:space="preserve"> and evaluation</w:t>
      </w:r>
      <w:r w:rsidRPr="088F2921">
        <w:rPr>
          <w:rFonts w:asciiTheme="majorHAnsi" w:hAnsiTheme="majorHAnsi"/>
        </w:rPr>
        <w:t>. In closing, we return to the importance of young men’s narratives and their voices and experiences continuing to inform and shape service provision.</w:t>
      </w:r>
    </w:p>
    <w:p w14:paraId="3F5F5498" w14:textId="77777777" w:rsidR="00EE05AA" w:rsidRPr="00EE05AA" w:rsidRDefault="00EE05AA" w:rsidP="004824EA">
      <w:pPr>
        <w:spacing w:line="360" w:lineRule="auto"/>
        <w:contextualSpacing/>
        <w:rPr>
          <w:rFonts w:asciiTheme="majorHAnsi" w:hAnsiTheme="majorHAnsi"/>
        </w:rPr>
      </w:pPr>
    </w:p>
    <w:p w14:paraId="473D274E" w14:textId="77777777" w:rsidR="00EE05AA" w:rsidRPr="00EE05AA" w:rsidRDefault="00EE05AA" w:rsidP="00EB0731">
      <w:pPr>
        <w:spacing w:line="360" w:lineRule="auto"/>
        <w:contextualSpacing/>
        <w:rPr>
          <w:rFonts w:asciiTheme="majorHAnsi" w:hAnsiTheme="majorHAnsi"/>
        </w:rPr>
      </w:pPr>
    </w:p>
    <w:p w14:paraId="1019BE3F" w14:textId="71F11A1A" w:rsidR="00EE05AA" w:rsidRPr="00EE05AA" w:rsidRDefault="00724275" w:rsidP="00EB0731">
      <w:pPr>
        <w:spacing w:line="360" w:lineRule="auto"/>
        <w:contextualSpacing/>
        <w:rPr>
          <w:rFonts w:asciiTheme="majorHAnsi" w:hAnsiTheme="majorHAnsi"/>
          <w:b/>
          <w:bCs/>
        </w:rPr>
      </w:pPr>
      <w:r>
        <w:rPr>
          <w:rFonts w:asciiTheme="majorHAnsi" w:hAnsiTheme="majorHAnsi"/>
          <w:b/>
          <w:bCs/>
        </w:rPr>
        <w:t>6.</w:t>
      </w:r>
      <w:r w:rsidR="000414B2">
        <w:rPr>
          <w:rFonts w:asciiTheme="majorHAnsi" w:hAnsiTheme="majorHAnsi"/>
          <w:b/>
          <w:bCs/>
        </w:rPr>
        <w:t xml:space="preserve">1 </w:t>
      </w:r>
      <w:r w:rsidR="00EE05AA" w:rsidRPr="00EE05AA">
        <w:rPr>
          <w:rFonts w:asciiTheme="majorHAnsi" w:hAnsiTheme="majorHAnsi"/>
          <w:b/>
          <w:bCs/>
        </w:rPr>
        <w:t>Summary of Findings</w:t>
      </w:r>
    </w:p>
    <w:p w14:paraId="46A4215F"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 xml:space="preserve">The following section summarises the key findings from the thematic analysis of qualitative data collected from interviews with service leaders and managers, practitioners and with young men. In this summary, we aim to make connections across the intersecting themes, and draw conclusions from these findings. This analysis acknowledges the complexity of young men’s lives and processes by which services seek to interact and intervene with young men. Many of these issues and findings will be familiar to those involved in working with young men and the findings of the research are supported by and reflect literature in the field. </w:t>
      </w:r>
    </w:p>
    <w:p w14:paraId="3D70422D" w14:textId="77777777" w:rsidR="005E7188" w:rsidRDefault="005E7188" w:rsidP="00EB0731">
      <w:pPr>
        <w:spacing w:line="360" w:lineRule="auto"/>
        <w:contextualSpacing/>
        <w:rPr>
          <w:rFonts w:asciiTheme="majorHAnsi" w:hAnsiTheme="majorHAnsi"/>
        </w:rPr>
      </w:pPr>
    </w:p>
    <w:p w14:paraId="7228734C" w14:textId="25A4188B" w:rsidR="005E7188" w:rsidRDefault="005E7188" w:rsidP="00EB0731">
      <w:pPr>
        <w:spacing w:line="360" w:lineRule="auto"/>
        <w:contextualSpacing/>
        <w:rPr>
          <w:rFonts w:asciiTheme="majorHAnsi" w:hAnsiTheme="majorHAnsi"/>
        </w:rPr>
      </w:pPr>
    </w:p>
    <w:p w14:paraId="234E4E6F" w14:textId="00D05440" w:rsidR="00301C85" w:rsidRDefault="00301C85" w:rsidP="00EB0731">
      <w:pPr>
        <w:spacing w:line="360" w:lineRule="auto"/>
        <w:contextualSpacing/>
        <w:rPr>
          <w:rFonts w:asciiTheme="majorHAnsi" w:hAnsiTheme="majorHAnsi"/>
        </w:rPr>
      </w:pPr>
    </w:p>
    <w:p w14:paraId="533CBADE" w14:textId="77777777" w:rsidR="00301C85" w:rsidRDefault="00301C85" w:rsidP="00EB0731">
      <w:pPr>
        <w:spacing w:line="360" w:lineRule="auto"/>
        <w:contextualSpacing/>
        <w:rPr>
          <w:rFonts w:asciiTheme="majorHAnsi" w:hAnsiTheme="majorHAnsi"/>
        </w:rPr>
      </w:pPr>
    </w:p>
    <w:p w14:paraId="335C1F16" w14:textId="60687C7E" w:rsidR="00EE05AA" w:rsidRPr="00EE05AA" w:rsidRDefault="00A14F5C" w:rsidP="00EB0731">
      <w:pPr>
        <w:spacing w:line="360" w:lineRule="auto"/>
        <w:contextualSpacing/>
        <w:rPr>
          <w:rFonts w:asciiTheme="majorHAnsi" w:hAnsiTheme="majorHAnsi"/>
          <w:i/>
          <w:iCs/>
        </w:rPr>
      </w:pPr>
      <w:r>
        <w:rPr>
          <w:rFonts w:asciiTheme="majorHAnsi" w:hAnsiTheme="majorHAnsi"/>
          <w:i/>
          <w:iCs/>
        </w:rPr>
        <w:lastRenderedPageBreak/>
        <w:t xml:space="preserve">6.1.1 </w:t>
      </w:r>
      <w:r w:rsidR="00EE05AA" w:rsidRPr="00EE05AA">
        <w:rPr>
          <w:rFonts w:asciiTheme="majorHAnsi" w:hAnsiTheme="majorHAnsi"/>
          <w:i/>
          <w:iCs/>
        </w:rPr>
        <w:t>The Brighton and Hove context</w:t>
      </w:r>
    </w:p>
    <w:p w14:paraId="70215B57"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 xml:space="preserve">Brighton and Hove </w:t>
      </w:r>
      <w:proofErr w:type="gramStart"/>
      <w:r w:rsidRPr="00EE05AA">
        <w:rPr>
          <w:rFonts w:asciiTheme="majorHAnsi" w:hAnsiTheme="majorHAnsi"/>
        </w:rPr>
        <w:t>has</w:t>
      </w:r>
      <w:proofErr w:type="gramEnd"/>
      <w:r w:rsidRPr="00EE05AA">
        <w:rPr>
          <w:rFonts w:asciiTheme="majorHAnsi" w:hAnsiTheme="majorHAnsi"/>
        </w:rPr>
        <w:t xml:space="preserve"> a public face, with a high proportion of students within the resident population, and a reputation as a ‘party city’ which attracts large numbers of visitors. Both the public and more hidden aspects of place are relevant and impact upon the ways in which young men engage with each other, the local and the transient parts of the population and with local services. Within this one city and its surrounding areas, there are places that are perceived by young men and practitioners as being more or less accessible and safe for young men, based on prior associations and reputation, which also impact upon engagement with services. In addition, many young men ‘know’ only a relatively small part of their local area in any detail. </w:t>
      </w:r>
    </w:p>
    <w:p w14:paraId="4ABA1C54" w14:textId="77777777" w:rsidR="00EE05AA" w:rsidRPr="00EE05AA" w:rsidRDefault="00EE05AA" w:rsidP="00EB0731">
      <w:pPr>
        <w:spacing w:line="360" w:lineRule="auto"/>
        <w:contextualSpacing/>
        <w:rPr>
          <w:rFonts w:asciiTheme="majorHAnsi" w:hAnsiTheme="majorHAnsi"/>
        </w:rPr>
      </w:pPr>
    </w:p>
    <w:p w14:paraId="60DDA8F1" w14:textId="14E028F6" w:rsidR="00EE05AA" w:rsidRPr="00EE05AA" w:rsidRDefault="00A14F5C" w:rsidP="00EB0731">
      <w:pPr>
        <w:spacing w:line="360" w:lineRule="auto"/>
        <w:contextualSpacing/>
        <w:rPr>
          <w:rFonts w:asciiTheme="majorHAnsi" w:hAnsiTheme="majorHAnsi"/>
          <w:i/>
          <w:iCs/>
        </w:rPr>
      </w:pPr>
      <w:r>
        <w:rPr>
          <w:rFonts w:asciiTheme="majorHAnsi" w:hAnsiTheme="majorHAnsi"/>
          <w:i/>
          <w:iCs/>
        </w:rPr>
        <w:t xml:space="preserve">6.1.2 </w:t>
      </w:r>
      <w:r w:rsidR="00EE05AA" w:rsidRPr="00EE05AA">
        <w:rPr>
          <w:rFonts w:asciiTheme="majorHAnsi" w:hAnsiTheme="majorHAnsi"/>
          <w:i/>
          <w:iCs/>
        </w:rPr>
        <w:t>Young men in Brighton and Hove</w:t>
      </w:r>
    </w:p>
    <w:p w14:paraId="32A70B01" w14:textId="22451EC9" w:rsidR="00EE05AA" w:rsidRPr="00EE05AA" w:rsidRDefault="00EE05AA" w:rsidP="00EB0731">
      <w:pPr>
        <w:spacing w:line="360" w:lineRule="auto"/>
        <w:contextualSpacing/>
        <w:rPr>
          <w:rFonts w:asciiTheme="majorHAnsi" w:hAnsiTheme="majorHAnsi"/>
        </w:rPr>
      </w:pPr>
      <w:r w:rsidRPr="00EE05AA">
        <w:rPr>
          <w:rFonts w:asciiTheme="majorHAnsi" w:hAnsiTheme="majorHAnsi"/>
        </w:rPr>
        <w:t>The lived experiences of young men in Brighton and Hove</w:t>
      </w:r>
      <w:r w:rsidR="005E7188">
        <w:rPr>
          <w:rFonts w:asciiTheme="majorHAnsi" w:hAnsiTheme="majorHAnsi"/>
        </w:rPr>
        <w:t xml:space="preserve"> </w:t>
      </w:r>
      <w:r w:rsidRPr="00EE05AA">
        <w:rPr>
          <w:rFonts w:asciiTheme="majorHAnsi" w:hAnsiTheme="majorHAnsi"/>
        </w:rPr>
        <w:t>are mediated by this local context and associated socio-economic factors. Underpinning this</w:t>
      </w:r>
      <w:r w:rsidR="005E7188">
        <w:rPr>
          <w:rFonts w:asciiTheme="majorHAnsi" w:hAnsiTheme="majorHAnsi"/>
        </w:rPr>
        <w:t>,</w:t>
      </w:r>
      <w:r w:rsidRPr="00EE05AA">
        <w:rPr>
          <w:rFonts w:asciiTheme="majorHAnsi" w:hAnsiTheme="majorHAnsi"/>
        </w:rPr>
        <w:t xml:space="preserve"> are conceptualisations of masculinity, and the influence of intersectional identities. Principally, young men are considered not fully socialised to understand their </w:t>
      </w:r>
      <w:r w:rsidR="00C832CB" w:rsidRPr="00EE05AA">
        <w:rPr>
          <w:rFonts w:asciiTheme="majorHAnsi" w:hAnsiTheme="majorHAnsi"/>
        </w:rPr>
        <w:t>emotionality or</w:t>
      </w:r>
      <w:r w:rsidRPr="00EE05AA">
        <w:rPr>
          <w:rFonts w:asciiTheme="majorHAnsi" w:hAnsiTheme="majorHAnsi"/>
        </w:rPr>
        <w:t xml:space="preserve"> express it appropriately. According to </w:t>
      </w:r>
      <w:r w:rsidR="000E5711">
        <w:rPr>
          <w:rFonts w:asciiTheme="majorHAnsi" w:hAnsiTheme="majorHAnsi"/>
        </w:rPr>
        <w:t>pracitioners,</w:t>
      </w:r>
      <w:r w:rsidRPr="00EE05AA">
        <w:rPr>
          <w:rFonts w:asciiTheme="majorHAnsi" w:hAnsiTheme="majorHAnsi"/>
        </w:rPr>
        <w:t xml:space="preserve"> young men’s lack of emotional intelligence leads to unhealthy emotional expression, including violence and a relatively low rate of recognition of emotions in general. </w:t>
      </w:r>
      <w:r w:rsidR="000E5711" w:rsidRPr="00EE05AA">
        <w:rPr>
          <w:rFonts w:asciiTheme="majorHAnsi" w:hAnsiTheme="majorHAnsi"/>
        </w:rPr>
        <w:t>Pr</w:t>
      </w:r>
      <w:r w:rsidR="000E5711">
        <w:rPr>
          <w:rFonts w:asciiTheme="majorHAnsi" w:hAnsiTheme="majorHAnsi"/>
        </w:rPr>
        <w:t>actitioners</w:t>
      </w:r>
      <w:r w:rsidR="000E5711" w:rsidRPr="00EE05AA">
        <w:rPr>
          <w:rFonts w:asciiTheme="majorHAnsi" w:hAnsiTheme="majorHAnsi"/>
        </w:rPr>
        <w:t xml:space="preserve"> </w:t>
      </w:r>
      <w:r w:rsidRPr="00EE05AA">
        <w:rPr>
          <w:rFonts w:asciiTheme="majorHAnsi" w:hAnsiTheme="majorHAnsi"/>
        </w:rPr>
        <w:t>s</w:t>
      </w:r>
      <w:r w:rsidR="000E5711">
        <w:rPr>
          <w:rFonts w:asciiTheme="majorHAnsi" w:hAnsiTheme="majorHAnsi"/>
        </w:rPr>
        <w:t>aw</w:t>
      </w:r>
      <w:r w:rsidRPr="00EE05AA">
        <w:rPr>
          <w:rFonts w:asciiTheme="majorHAnsi" w:hAnsiTheme="majorHAnsi"/>
        </w:rPr>
        <w:t xml:space="preserve"> this restricted emotionality as an obstacle to help-seeking for young men. For the young men themselves, help-seeking is ‘non-masculine’ and is regarded as a sign of weakness. If they were to seek help from </w:t>
      </w:r>
      <w:r w:rsidR="0072268B" w:rsidRPr="00EE05AA">
        <w:rPr>
          <w:rFonts w:asciiTheme="majorHAnsi" w:hAnsiTheme="majorHAnsi"/>
        </w:rPr>
        <w:t>pra</w:t>
      </w:r>
      <w:r w:rsidR="0072268B">
        <w:rPr>
          <w:rFonts w:asciiTheme="majorHAnsi" w:hAnsiTheme="majorHAnsi"/>
        </w:rPr>
        <w:t>ctitioners</w:t>
      </w:r>
      <w:r w:rsidRPr="00EE05AA">
        <w:rPr>
          <w:rFonts w:asciiTheme="majorHAnsi" w:hAnsiTheme="majorHAnsi"/>
        </w:rPr>
        <w:t xml:space="preserve">, they face possible ridicule and rejection from their peers, including loss of status in social groupings. </w:t>
      </w:r>
    </w:p>
    <w:p w14:paraId="4D5DFCF4" w14:textId="77777777" w:rsidR="00EE05AA" w:rsidRPr="00EE05AA" w:rsidRDefault="00EE05AA" w:rsidP="00EB0731">
      <w:pPr>
        <w:spacing w:line="360" w:lineRule="auto"/>
        <w:contextualSpacing/>
        <w:rPr>
          <w:rFonts w:asciiTheme="majorHAnsi" w:hAnsiTheme="majorHAnsi"/>
        </w:rPr>
      </w:pPr>
    </w:p>
    <w:p w14:paraId="29BE0372" w14:textId="40ED10AC" w:rsidR="00EE05AA" w:rsidRPr="00EE05AA" w:rsidRDefault="00EE05AA" w:rsidP="088F2921">
      <w:pPr>
        <w:spacing w:line="360" w:lineRule="auto"/>
        <w:contextualSpacing/>
        <w:rPr>
          <w:rFonts w:asciiTheme="majorHAnsi" w:hAnsiTheme="majorHAnsi"/>
        </w:rPr>
      </w:pPr>
      <w:r w:rsidRPr="088F2921">
        <w:rPr>
          <w:rFonts w:asciiTheme="majorHAnsi" w:hAnsiTheme="majorHAnsi"/>
        </w:rPr>
        <w:t xml:space="preserve">An absence of positive role models is regarded as restricting emotionality among young men. There is concern among some professionals that there the over-representation of women working in services with young men perpetuates this. In some cases, young men </w:t>
      </w:r>
      <w:r w:rsidR="00680B26" w:rsidRPr="088F2921">
        <w:rPr>
          <w:rFonts w:asciiTheme="majorHAnsi" w:hAnsiTheme="majorHAnsi"/>
        </w:rPr>
        <w:t xml:space="preserve">reported </w:t>
      </w:r>
      <w:r w:rsidRPr="088F2921">
        <w:rPr>
          <w:rFonts w:asciiTheme="majorHAnsi" w:hAnsiTheme="majorHAnsi"/>
        </w:rPr>
        <w:t xml:space="preserve">favourable experiences of contact with male role models in the services they access, providing them with realistic and healthier ways of ‘being men’. </w:t>
      </w:r>
    </w:p>
    <w:p w14:paraId="7996E7FB" w14:textId="77777777" w:rsidR="00EE05AA" w:rsidRPr="00EE05AA" w:rsidRDefault="00EE05AA" w:rsidP="00EB0731">
      <w:pPr>
        <w:spacing w:line="360" w:lineRule="auto"/>
        <w:contextualSpacing/>
        <w:rPr>
          <w:rFonts w:asciiTheme="majorHAnsi" w:hAnsiTheme="majorHAnsi"/>
        </w:rPr>
      </w:pPr>
    </w:p>
    <w:p w14:paraId="2D4E7189"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More broadly, gender stereotypes are thought influence the quality of service offered to young men, and the accessibility of the services. There are concerns that young men are conceptualised more readily as perpetrators rather than victims, and that youth work with young men is generally undervalued. Further to this, whilst not explored in depth, issues associated with class, race and ethnicity, and sexual and gender identity may be problematised by a lack of diversity among professionals, meaning that services are not perceived as accessible to or oriented to supporting all young men equally.</w:t>
      </w:r>
    </w:p>
    <w:p w14:paraId="3566573B" w14:textId="77777777" w:rsidR="00EE05AA" w:rsidRPr="00EE05AA" w:rsidRDefault="00EE05AA" w:rsidP="00EB0731">
      <w:pPr>
        <w:spacing w:line="360" w:lineRule="auto"/>
        <w:contextualSpacing/>
        <w:rPr>
          <w:rFonts w:asciiTheme="majorHAnsi" w:hAnsiTheme="majorHAnsi"/>
        </w:rPr>
      </w:pPr>
    </w:p>
    <w:p w14:paraId="322D50B2" w14:textId="5BA404EB" w:rsidR="00EE05AA" w:rsidRPr="00EE05AA" w:rsidRDefault="00A14F5C" w:rsidP="00EB0731">
      <w:pPr>
        <w:spacing w:line="360" w:lineRule="auto"/>
        <w:contextualSpacing/>
        <w:rPr>
          <w:rFonts w:asciiTheme="majorHAnsi" w:hAnsiTheme="majorHAnsi"/>
          <w:i/>
          <w:iCs/>
        </w:rPr>
      </w:pPr>
      <w:r>
        <w:rPr>
          <w:rFonts w:asciiTheme="majorHAnsi" w:hAnsiTheme="majorHAnsi"/>
          <w:i/>
          <w:iCs/>
        </w:rPr>
        <w:t xml:space="preserve">6.1.3 </w:t>
      </w:r>
      <w:r w:rsidR="00EE05AA" w:rsidRPr="00EE05AA">
        <w:rPr>
          <w:rFonts w:asciiTheme="majorHAnsi" w:hAnsiTheme="majorHAnsi"/>
          <w:i/>
          <w:iCs/>
        </w:rPr>
        <w:t>Family and home</w:t>
      </w:r>
    </w:p>
    <w:p w14:paraId="0F7D8379"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 xml:space="preserve">The home environment experienced by young men plays a pivotal role in influencing their overall well-being, and their goals, aspirations and life opportunities.  This home context, experiences and relationships need to be taken into consideration when planning interventions and services for young men. Experiences of poverty and trauma have deep and long-lasting impact on the present and future lives. A trauma-informed approach to practice is key to understanding the experiences and impact of these experiences during work with young men, including the impact of trauma upon likelihood of forming, and ability to form, healthy and safe working relationships which form a basis for future relationships.  </w:t>
      </w:r>
    </w:p>
    <w:p w14:paraId="5D298562" w14:textId="77777777" w:rsidR="00EE05AA" w:rsidRPr="00EE05AA" w:rsidRDefault="00EE05AA" w:rsidP="00EB0731">
      <w:pPr>
        <w:spacing w:line="360" w:lineRule="auto"/>
        <w:contextualSpacing/>
        <w:rPr>
          <w:rFonts w:asciiTheme="majorHAnsi" w:hAnsiTheme="majorHAnsi"/>
        </w:rPr>
      </w:pPr>
    </w:p>
    <w:p w14:paraId="1CEEE4EF"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Leaving home and care are known and unsurprisingly key transitions and associated transitions between children’s and adult social services are vitally important. Services that stop abruptly at key ages or fail to support young men during such transitions can negatively impact their potential to make progress in work, education and family life.</w:t>
      </w:r>
    </w:p>
    <w:p w14:paraId="13D1609F" w14:textId="77777777" w:rsidR="00EE05AA" w:rsidRPr="00EE05AA" w:rsidRDefault="00EE05AA" w:rsidP="00EB0731">
      <w:pPr>
        <w:spacing w:line="360" w:lineRule="auto"/>
        <w:contextualSpacing/>
        <w:rPr>
          <w:rFonts w:asciiTheme="majorHAnsi" w:hAnsiTheme="majorHAnsi"/>
        </w:rPr>
      </w:pPr>
    </w:p>
    <w:p w14:paraId="6274654A" w14:textId="64917714" w:rsidR="00EE05AA" w:rsidRPr="00EE05AA" w:rsidRDefault="00A14F5C" w:rsidP="00EB0731">
      <w:pPr>
        <w:spacing w:line="360" w:lineRule="auto"/>
        <w:contextualSpacing/>
        <w:rPr>
          <w:rFonts w:asciiTheme="majorHAnsi" w:hAnsiTheme="majorHAnsi"/>
          <w:i/>
          <w:iCs/>
        </w:rPr>
      </w:pPr>
      <w:r>
        <w:rPr>
          <w:rFonts w:asciiTheme="majorHAnsi" w:hAnsiTheme="majorHAnsi"/>
          <w:i/>
          <w:iCs/>
        </w:rPr>
        <w:t xml:space="preserve">6.1.4 </w:t>
      </w:r>
      <w:r w:rsidR="00EE05AA" w:rsidRPr="00EE05AA">
        <w:rPr>
          <w:rFonts w:asciiTheme="majorHAnsi" w:hAnsiTheme="majorHAnsi"/>
          <w:i/>
          <w:iCs/>
        </w:rPr>
        <w:t>School and employment</w:t>
      </w:r>
    </w:p>
    <w:p w14:paraId="265EA432" w14:textId="63C0C274" w:rsidR="00EE05AA" w:rsidRPr="00EE05AA" w:rsidRDefault="00EE05AA" w:rsidP="088F2921">
      <w:pPr>
        <w:spacing w:line="360" w:lineRule="auto"/>
        <w:contextualSpacing/>
        <w:rPr>
          <w:rFonts w:asciiTheme="majorHAnsi" w:hAnsiTheme="majorHAnsi"/>
        </w:rPr>
      </w:pPr>
      <w:r w:rsidRPr="088F2921">
        <w:rPr>
          <w:rFonts w:asciiTheme="majorHAnsi" w:hAnsiTheme="majorHAnsi"/>
        </w:rPr>
        <w:t xml:space="preserve">Whilst young men reported less than positive experiences of educational institutions, it is not uncommon for the young men to reflect </w:t>
      </w:r>
      <w:r w:rsidR="47A6AE36" w:rsidRPr="088F2921">
        <w:rPr>
          <w:rFonts w:asciiTheme="majorHAnsi" w:hAnsiTheme="majorHAnsi"/>
        </w:rPr>
        <w:t>up</w:t>
      </w:r>
      <w:r w:rsidRPr="088F2921">
        <w:rPr>
          <w:rFonts w:asciiTheme="majorHAnsi" w:hAnsiTheme="majorHAnsi"/>
        </w:rPr>
        <w:t xml:space="preserve">on and value the support and guidance received </w:t>
      </w:r>
      <w:r w:rsidRPr="088F2921">
        <w:rPr>
          <w:rFonts w:asciiTheme="majorHAnsi" w:hAnsiTheme="majorHAnsi"/>
        </w:rPr>
        <w:lastRenderedPageBreak/>
        <w:t>from significant adults at school/college. Such relationships are commonly those that are experienced as providing sustained acknowledgement, regard and acceptance, including at times, elements of personalised direction and guidance.</w:t>
      </w:r>
    </w:p>
    <w:p w14:paraId="17CDE39D" w14:textId="77777777" w:rsidR="00EE05AA" w:rsidRPr="00EE05AA" w:rsidRDefault="00EE05AA" w:rsidP="00EB0731">
      <w:pPr>
        <w:spacing w:line="360" w:lineRule="auto"/>
        <w:contextualSpacing/>
        <w:rPr>
          <w:rFonts w:asciiTheme="majorHAnsi" w:hAnsiTheme="majorHAnsi"/>
        </w:rPr>
      </w:pPr>
    </w:p>
    <w:p w14:paraId="50A1C285" w14:textId="5EAA0294" w:rsidR="00EE05AA" w:rsidRPr="00EE05AA" w:rsidRDefault="00EE05AA" w:rsidP="088F2921">
      <w:pPr>
        <w:spacing w:line="360" w:lineRule="auto"/>
        <w:contextualSpacing/>
        <w:rPr>
          <w:rFonts w:asciiTheme="majorHAnsi" w:hAnsiTheme="majorHAnsi"/>
        </w:rPr>
      </w:pPr>
      <w:r w:rsidRPr="088F2921">
        <w:rPr>
          <w:rFonts w:asciiTheme="majorHAnsi" w:hAnsiTheme="majorHAnsi"/>
        </w:rPr>
        <w:t>Historically, such relationships and interventions have also been experienced through collaboration between the school/college and ‘alternative’ provision, facilitated through complementary partnerships, often with third sector/community-based services. Educational institutions would seem to have reduced capacity to work in partnership with such services and projects</w:t>
      </w:r>
      <w:r w:rsidR="70DE9C62" w:rsidRPr="088F2921">
        <w:rPr>
          <w:rFonts w:asciiTheme="majorHAnsi" w:hAnsiTheme="majorHAnsi"/>
        </w:rPr>
        <w:t xml:space="preserve"> currently</w:t>
      </w:r>
      <w:r w:rsidRPr="088F2921">
        <w:rPr>
          <w:rFonts w:asciiTheme="majorHAnsi" w:hAnsiTheme="majorHAnsi"/>
        </w:rPr>
        <w:t xml:space="preserve">, </w:t>
      </w:r>
      <w:r w:rsidR="11D6D18E" w:rsidRPr="088F2921">
        <w:rPr>
          <w:rFonts w:asciiTheme="majorHAnsi" w:hAnsiTheme="majorHAnsi"/>
        </w:rPr>
        <w:t xml:space="preserve">as a result of reduced services due to public funding cuts, </w:t>
      </w:r>
      <w:r w:rsidRPr="088F2921">
        <w:rPr>
          <w:rFonts w:asciiTheme="majorHAnsi" w:hAnsiTheme="majorHAnsi"/>
        </w:rPr>
        <w:t>many of which were effective in providing opportunities for young men who found it hard to engage in more formalised, ‘mainstream’ provision.</w:t>
      </w:r>
    </w:p>
    <w:p w14:paraId="68B042E7" w14:textId="77777777" w:rsidR="00EE05AA" w:rsidRPr="00EE05AA" w:rsidRDefault="00EE05AA" w:rsidP="00EB0731">
      <w:pPr>
        <w:spacing w:line="360" w:lineRule="auto"/>
        <w:contextualSpacing/>
        <w:rPr>
          <w:rFonts w:asciiTheme="majorHAnsi" w:hAnsiTheme="majorHAnsi"/>
        </w:rPr>
      </w:pPr>
    </w:p>
    <w:p w14:paraId="4D0388E9"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Routes to training and employment can be inconsistent and lack of the flexibility of such provision does not always acknowledge and respond to the reality of some young men’s complex and fractured everyday lives. This impacts on employment aspirations and trajectories, where often the pathway to offending and risk of exploitation, further disadvantages young men.</w:t>
      </w:r>
    </w:p>
    <w:p w14:paraId="1BA82930" w14:textId="77777777" w:rsidR="00EE05AA" w:rsidRPr="00EE05AA" w:rsidRDefault="00EE05AA" w:rsidP="00EB0731">
      <w:pPr>
        <w:spacing w:line="360" w:lineRule="auto"/>
        <w:contextualSpacing/>
        <w:rPr>
          <w:rFonts w:asciiTheme="majorHAnsi" w:hAnsiTheme="majorHAnsi"/>
        </w:rPr>
      </w:pPr>
    </w:p>
    <w:p w14:paraId="1D40E869" w14:textId="4D32D71F" w:rsidR="00EE05AA" w:rsidRPr="00EE05AA" w:rsidRDefault="00A14F5C" w:rsidP="00EB0731">
      <w:pPr>
        <w:spacing w:line="360" w:lineRule="auto"/>
        <w:contextualSpacing/>
        <w:rPr>
          <w:rFonts w:asciiTheme="majorHAnsi" w:hAnsiTheme="majorHAnsi"/>
          <w:i/>
          <w:iCs/>
        </w:rPr>
      </w:pPr>
      <w:r>
        <w:rPr>
          <w:rFonts w:asciiTheme="majorHAnsi" w:hAnsiTheme="majorHAnsi"/>
          <w:i/>
          <w:iCs/>
        </w:rPr>
        <w:t xml:space="preserve">6.1.5 </w:t>
      </w:r>
      <w:r w:rsidR="00EE05AA" w:rsidRPr="00EE05AA">
        <w:rPr>
          <w:rFonts w:asciiTheme="majorHAnsi" w:hAnsiTheme="majorHAnsi"/>
          <w:i/>
          <w:iCs/>
        </w:rPr>
        <w:t>Mental health and substance use</w:t>
      </w:r>
    </w:p>
    <w:p w14:paraId="5E20D30B" w14:textId="662BB1B4" w:rsidR="00EE05AA" w:rsidRPr="00EE05AA" w:rsidRDefault="00EE05AA" w:rsidP="088F2921">
      <w:pPr>
        <w:spacing w:line="360" w:lineRule="auto"/>
        <w:contextualSpacing/>
        <w:rPr>
          <w:rFonts w:asciiTheme="majorHAnsi" w:hAnsiTheme="majorHAnsi"/>
        </w:rPr>
      </w:pPr>
      <w:r w:rsidRPr="088F2921">
        <w:rPr>
          <w:rFonts w:asciiTheme="majorHAnsi" w:hAnsiTheme="majorHAnsi"/>
        </w:rPr>
        <w:t>Young men in Brighton and Hove experience a diversity of mental health issues, including anxiety, stress, depression, feelings of meaningless, and suicidality. Poor mental health is associated with bullying, school exams, childhood trauma, national and global events, and substance use. In relation to substance use, Cannabis, MDMA, Xanax, and Spice were referred to as being commonly used by young men in relation to their need to escape difficult realities and to assuage mental distress</w:t>
      </w:r>
      <w:r w:rsidR="6596D5A2" w:rsidRPr="088F2921">
        <w:rPr>
          <w:rFonts w:asciiTheme="majorHAnsi" w:hAnsiTheme="majorHAnsi"/>
        </w:rPr>
        <w:t xml:space="preserve">, whilst seemingly becoming more vulnerable to ‘county lines’ and other organised </w:t>
      </w:r>
      <w:r w:rsidR="61697317" w:rsidRPr="088F2921">
        <w:rPr>
          <w:rFonts w:asciiTheme="majorHAnsi" w:hAnsiTheme="majorHAnsi"/>
        </w:rPr>
        <w:t>and exploitative</w:t>
      </w:r>
      <w:r w:rsidR="6596D5A2" w:rsidRPr="088F2921">
        <w:rPr>
          <w:rFonts w:asciiTheme="majorHAnsi" w:hAnsiTheme="majorHAnsi"/>
        </w:rPr>
        <w:t xml:space="preserve"> </w:t>
      </w:r>
      <w:r w:rsidR="35741EF0" w:rsidRPr="088F2921">
        <w:rPr>
          <w:rFonts w:asciiTheme="majorHAnsi" w:hAnsiTheme="majorHAnsi"/>
        </w:rPr>
        <w:t>processes</w:t>
      </w:r>
      <w:r w:rsidRPr="088F2921">
        <w:rPr>
          <w:rFonts w:asciiTheme="majorHAnsi" w:hAnsiTheme="majorHAnsi"/>
        </w:rPr>
        <w:t xml:space="preserve">. </w:t>
      </w:r>
    </w:p>
    <w:p w14:paraId="2C4D311A" w14:textId="77777777" w:rsidR="00EE05AA" w:rsidRPr="00EE05AA" w:rsidRDefault="00EE05AA" w:rsidP="00EB0731">
      <w:pPr>
        <w:spacing w:line="360" w:lineRule="auto"/>
        <w:contextualSpacing/>
        <w:rPr>
          <w:rFonts w:asciiTheme="majorHAnsi" w:hAnsiTheme="majorHAnsi"/>
        </w:rPr>
      </w:pPr>
    </w:p>
    <w:p w14:paraId="28617FB3"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lastRenderedPageBreak/>
        <w:t>Young men and professionals alike believe that key to improving young men’s mental health is helping them to understand their emotionality, and to make links between how they are feeling and their traumatic pasts and presents. Professionals however are critical of mental health provision for young men. Their concerns include those related to accessibility, waiting times, quick-fix approaches, restrictive eligibility criteria, and the problematic transition from child to adult services, referred to previously.</w:t>
      </w:r>
    </w:p>
    <w:p w14:paraId="3F6CB3EB" w14:textId="77777777" w:rsidR="00EE05AA" w:rsidRPr="00EE05AA" w:rsidRDefault="00EE05AA" w:rsidP="00EB0731">
      <w:pPr>
        <w:spacing w:line="360" w:lineRule="auto"/>
        <w:contextualSpacing/>
        <w:rPr>
          <w:rFonts w:asciiTheme="majorHAnsi" w:hAnsiTheme="majorHAnsi"/>
        </w:rPr>
      </w:pPr>
    </w:p>
    <w:p w14:paraId="483F198F" w14:textId="41742145" w:rsidR="00EE05AA" w:rsidRPr="00EE05AA" w:rsidRDefault="00A14F5C" w:rsidP="00EB0731">
      <w:pPr>
        <w:spacing w:line="360" w:lineRule="auto"/>
        <w:contextualSpacing/>
        <w:rPr>
          <w:rFonts w:asciiTheme="majorHAnsi" w:hAnsiTheme="majorHAnsi"/>
          <w:i/>
          <w:iCs/>
        </w:rPr>
      </w:pPr>
      <w:r>
        <w:rPr>
          <w:rFonts w:asciiTheme="majorHAnsi" w:hAnsiTheme="majorHAnsi"/>
          <w:i/>
          <w:iCs/>
        </w:rPr>
        <w:t xml:space="preserve">6.1.6 </w:t>
      </w:r>
      <w:r w:rsidR="00EE05AA" w:rsidRPr="00EE05AA">
        <w:rPr>
          <w:rFonts w:asciiTheme="majorHAnsi" w:hAnsiTheme="majorHAnsi"/>
          <w:i/>
          <w:iCs/>
        </w:rPr>
        <w:t>Offending</w:t>
      </w:r>
    </w:p>
    <w:p w14:paraId="37C45EF6" w14:textId="33D2CCF5" w:rsidR="00EE05AA" w:rsidRPr="00EE05AA" w:rsidRDefault="00EE05AA" w:rsidP="00EB0731">
      <w:pPr>
        <w:spacing w:line="360" w:lineRule="auto"/>
        <w:contextualSpacing/>
        <w:rPr>
          <w:rFonts w:asciiTheme="majorHAnsi" w:hAnsiTheme="majorHAnsi"/>
        </w:rPr>
      </w:pPr>
      <w:r w:rsidRPr="00EE05AA">
        <w:rPr>
          <w:rFonts w:asciiTheme="majorHAnsi" w:hAnsiTheme="majorHAnsi"/>
        </w:rPr>
        <w:t xml:space="preserve">The complexity of young men’s lives is further evidenced within experiences of offending. Young men’s criminal ‘careers’ often begin with drug-related </w:t>
      </w:r>
      <w:r w:rsidR="005E7188" w:rsidRPr="00EE05AA">
        <w:rPr>
          <w:rFonts w:asciiTheme="majorHAnsi" w:hAnsiTheme="majorHAnsi"/>
        </w:rPr>
        <w:t>activities, including</w:t>
      </w:r>
      <w:r w:rsidRPr="00EE05AA">
        <w:rPr>
          <w:rFonts w:asciiTheme="majorHAnsi" w:hAnsiTheme="majorHAnsi"/>
        </w:rPr>
        <w:t xml:space="preserve"> use of drugs and supply of illegal substances. Engagement in and being victim of violent offences also initiate criminality, and experiences at home and within the family are potential triggers. </w:t>
      </w:r>
    </w:p>
    <w:p w14:paraId="037BDF4F" w14:textId="77777777" w:rsidR="00EE05AA" w:rsidRPr="00EE05AA" w:rsidRDefault="00EE05AA" w:rsidP="00EB0731">
      <w:pPr>
        <w:spacing w:line="360" w:lineRule="auto"/>
        <w:contextualSpacing/>
        <w:rPr>
          <w:rFonts w:asciiTheme="majorHAnsi" w:hAnsiTheme="majorHAnsi"/>
        </w:rPr>
      </w:pPr>
    </w:p>
    <w:p w14:paraId="4232884E" w14:textId="77777777" w:rsidR="00EE05AA" w:rsidRPr="00EE05AA" w:rsidRDefault="00EE05AA" w:rsidP="00EB0731">
      <w:pPr>
        <w:spacing w:line="360" w:lineRule="auto"/>
        <w:contextualSpacing/>
        <w:rPr>
          <w:rFonts w:asciiTheme="majorHAnsi" w:hAnsiTheme="majorHAnsi"/>
        </w:rPr>
      </w:pPr>
      <w:r w:rsidRPr="00EE05AA">
        <w:rPr>
          <w:rFonts w:asciiTheme="majorHAnsi" w:hAnsiTheme="majorHAnsi"/>
        </w:rPr>
        <w:t xml:space="preserve">The power of labelling and stereotyping of young men within society is significant, with messages about the perceived riskiness of young men being privileged over messages about vulnerability. This extends into and contributes to defining the experience of young men as offenders. Such masked vulnerability is regarded as playing a part in the criminal exploitation of young men in Brighton and Hove and beyond, being perhaps even more prevalent than previously recognised. Whether this relates to exploitation through drug use or to other forms of criminal activity and / or sexual exploitation, the impact and dangers experienced are very real for some of our local young men. </w:t>
      </w:r>
    </w:p>
    <w:p w14:paraId="27A3F16D" w14:textId="713A81F9" w:rsidR="00EE05AA" w:rsidRDefault="00EE05AA" w:rsidP="00EB0731">
      <w:pPr>
        <w:spacing w:line="360" w:lineRule="auto"/>
        <w:contextualSpacing/>
        <w:rPr>
          <w:rFonts w:asciiTheme="majorHAnsi" w:hAnsiTheme="majorHAnsi"/>
        </w:rPr>
      </w:pPr>
    </w:p>
    <w:p w14:paraId="14BFB4AF" w14:textId="77777777" w:rsidR="000414B2" w:rsidRPr="00EE05AA" w:rsidRDefault="000414B2" w:rsidP="00EB0731">
      <w:pPr>
        <w:spacing w:line="360" w:lineRule="auto"/>
        <w:contextualSpacing/>
        <w:rPr>
          <w:rFonts w:asciiTheme="majorHAnsi" w:hAnsiTheme="majorHAnsi"/>
        </w:rPr>
      </w:pPr>
    </w:p>
    <w:p w14:paraId="5771BB50" w14:textId="39755595" w:rsidR="00EE05AA" w:rsidRPr="00EE05AA" w:rsidRDefault="00A14F5C" w:rsidP="00EB0731">
      <w:pPr>
        <w:spacing w:line="360" w:lineRule="auto"/>
        <w:contextualSpacing/>
        <w:rPr>
          <w:rFonts w:asciiTheme="majorHAnsi" w:hAnsiTheme="majorHAnsi"/>
          <w:i/>
          <w:iCs/>
        </w:rPr>
      </w:pPr>
      <w:r>
        <w:rPr>
          <w:rFonts w:asciiTheme="majorHAnsi" w:hAnsiTheme="majorHAnsi"/>
          <w:i/>
          <w:iCs/>
        </w:rPr>
        <w:t xml:space="preserve">6.1.7 </w:t>
      </w:r>
      <w:r w:rsidR="00EE05AA" w:rsidRPr="00EE05AA">
        <w:rPr>
          <w:rFonts w:asciiTheme="majorHAnsi" w:hAnsiTheme="majorHAnsi"/>
          <w:i/>
          <w:iCs/>
        </w:rPr>
        <w:t>Engaging and intervening with young men: services and provision</w:t>
      </w:r>
    </w:p>
    <w:p w14:paraId="412BC84D" w14:textId="142DA17C" w:rsidR="00EE05AA" w:rsidRPr="00EE05AA" w:rsidRDefault="00EE05AA" w:rsidP="00EB0731">
      <w:pPr>
        <w:spacing w:line="360" w:lineRule="auto"/>
        <w:contextualSpacing/>
        <w:rPr>
          <w:rFonts w:asciiTheme="majorHAnsi" w:hAnsiTheme="majorHAnsi"/>
        </w:rPr>
      </w:pPr>
      <w:r w:rsidRPr="00EE05AA">
        <w:rPr>
          <w:rFonts w:asciiTheme="majorHAnsi" w:hAnsiTheme="majorHAnsi"/>
        </w:rPr>
        <w:t xml:space="preserve">There was limited discussion or acknowledgment of specific models of intervention amongst those interviewed. However, a recognition that services that are more accessible to young men and are more likely to bring about sustained change and transformation, when based </w:t>
      </w:r>
      <w:r w:rsidR="00680B26">
        <w:rPr>
          <w:rFonts w:asciiTheme="majorHAnsi" w:hAnsiTheme="majorHAnsi"/>
        </w:rPr>
        <w:t>up</w:t>
      </w:r>
      <w:r w:rsidRPr="00EE05AA">
        <w:rPr>
          <w:rFonts w:asciiTheme="majorHAnsi" w:hAnsiTheme="majorHAnsi"/>
        </w:rPr>
        <w:t xml:space="preserve">on </w:t>
      </w:r>
      <w:r w:rsidRPr="00EE05AA">
        <w:rPr>
          <w:rFonts w:asciiTheme="majorHAnsi" w:hAnsiTheme="majorHAnsi"/>
        </w:rPr>
        <w:lastRenderedPageBreak/>
        <w:t>positive regar</w:t>
      </w:r>
      <w:r w:rsidR="00680B26">
        <w:rPr>
          <w:rFonts w:asciiTheme="majorHAnsi" w:hAnsiTheme="majorHAnsi"/>
        </w:rPr>
        <w:t>d, genuine interest and commitment</w:t>
      </w:r>
      <w:r w:rsidRPr="00EE05AA">
        <w:rPr>
          <w:rFonts w:asciiTheme="majorHAnsi" w:hAnsiTheme="majorHAnsi"/>
        </w:rPr>
        <w:t xml:space="preserve"> and sustained trust and relationship building over time, were articulated both within the interviews conducted with services and those with young men. </w:t>
      </w:r>
    </w:p>
    <w:p w14:paraId="47AFFC74" w14:textId="77777777" w:rsidR="00EE05AA" w:rsidRPr="00EE05AA" w:rsidRDefault="00EE05AA" w:rsidP="00EB0731">
      <w:pPr>
        <w:spacing w:line="360" w:lineRule="auto"/>
        <w:contextualSpacing/>
        <w:rPr>
          <w:rFonts w:asciiTheme="majorHAnsi" w:hAnsiTheme="majorHAnsi"/>
        </w:rPr>
      </w:pPr>
    </w:p>
    <w:p w14:paraId="4574B6BF" w14:textId="4A320DFF" w:rsidR="00EE05AA" w:rsidRPr="00EE05AA" w:rsidRDefault="00EE05AA" w:rsidP="088F2921">
      <w:pPr>
        <w:spacing w:line="360" w:lineRule="auto"/>
        <w:contextualSpacing/>
        <w:rPr>
          <w:rFonts w:asciiTheme="majorHAnsi" w:hAnsiTheme="majorHAnsi"/>
        </w:rPr>
      </w:pPr>
      <w:r w:rsidRPr="088F2921">
        <w:rPr>
          <w:rFonts w:asciiTheme="majorHAnsi" w:hAnsiTheme="majorHAnsi"/>
        </w:rPr>
        <w:t>The commitment of practitioners and service leads is clear. Many of those interviewed spoke warmly and with insight and compassion about young men. However, the impact of austerity cuts to services, along with increase workloads and higher thresholds, means that the responsiveness of services has, in many cases, diminished and has also resulted in challenges whereby some young men can no longer access mental health support when needed, as a result of changing thresholds</w:t>
      </w:r>
      <w:r w:rsidR="438784C5" w:rsidRPr="088F2921">
        <w:rPr>
          <w:rFonts w:asciiTheme="majorHAnsi" w:hAnsiTheme="majorHAnsi"/>
        </w:rPr>
        <w:t xml:space="preserve"> and the reduced availability of early intervention services which may, in some situations, prevent later and more serious risky activities and experiences</w:t>
      </w:r>
      <w:r w:rsidRPr="088F2921">
        <w:rPr>
          <w:rFonts w:asciiTheme="majorHAnsi" w:hAnsiTheme="majorHAnsi"/>
        </w:rPr>
        <w:t>. Nevertheless, there was an acknowledgement and understanding of the context and needs within young men’s lives amongst those interviewed, along with some frustration with the limitation and fragmentation of services.</w:t>
      </w:r>
    </w:p>
    <w:p w14:paraId="2993979A" w14:textId="77777777" w:rsidR="00EE05AA" w:rsidRPr="00EE05AA" w:rsidRDefault="00EE05AA" w:rsidP="00EB0731">
      <w:pPr>
        <w:spacing w:line="360" w:lineRule="auto"/>
        <w:contextualSpacing/>
        <w:rPr>
          <w:rFonts w:asciiTheme="majorHAnsi" w:hAnsiTheme="majorHAnsi"/>
        </w:rPr>
      </w:pPr>
    </w:p>
    <w:p w14:paraId="1E2BBD19" w14:textId="79704E21" w:rsidR="00EE05AA" w:rsidRPr="00EE05AA" w:rsidRDefault="00EE05AA" w:rsidP="088F2921">
      <w:pPr>
        <w:spacing w:line="360" w:lineRule="auto"/>
        <w:contextualSpacing/>
        <w:rPr>
          <w:rFonts w:asciiTheme="majorHAnsi" w:hAnsiTheme="majorHAnsi"/>
        </w:rPr>
      </w:pPr>
      <w:r w:rsidRPr="088F2921">
        <w:rPr>
          <w:rFonts w:asciiTheme="majorHAnsi" w:hAnsiTheme="majorHAnsi"/>
        </w:rPr>
        <w:t>A range of services are provided, some ‘targeted’,</w:t>
      </w:r>
      <w:r w:rsidR="000E5711" w:rsidRPr="088F2921">
        <w:rPr>
          <w:rFonts w:asciiTheme="majorHAnsi" w:hAnsiTheme="majorHAnsi"/>
        </w:rPr>
        <w:t xml:space="preserve"> </w:t>
      </w:r>
      <w:r w:rsidRPr="088F2921">
        <w:rPr>
          <w:rFonts w:asciiTheme="majorHAnsi" w:hAnsiTheme="majorHAnsi"/>
        </w:rPr>
        <w:t>others offering a more holistic approach. The balance between the two is crucial. It is important that provision for young men is responsive to the breadth and depth of their complex lived experiences, and that also offers specialised support. One cannot exist without the other. Young men value services which are both consistent and boundaried, and yet responsive and flexible. It is also likely that one type or mode of provision will not engage or ‘suit’ all young men</w:t>
      </w:r>
      <w:r w:rsidR="5B9547EF" w:rsidRPr="088F2921">
        <w:rPr>
          <w:rFonts w:asciiTheme="majorHAnsi" w:hAnsiTheme="majorHAnsi"/>
        </w:rPr>
        <w:t xml:space="preserve">, nor their ‘stage’ in readiness for accessing </w:t>
      </w:r>
      <w:r w:rsidR="003357DB" w:rsidRPr="088F2921">
        <w:rPr>
          <w:rFonts w:asciiTheme="majorHAnsi" w:hAnsiTheme="majorHAnsi"/>
        </w:rPr>
        <w:t>help, and</w:t>
      </w:r>
      <w:r w:rsidRPr="088F2921">
        <w:rPr>
          <w:rFonts w:asciiTheme="majorHAnsi" w:hAnsiTheme="majorHAnsi"/>
        </w:rPr>
        <w:t xml:space="preserve"> in this regard, breadth of provision</w:t>
      </w:r>
      <w:r w:rsidR="34125B7A" w:rsidRPr="088F2921">
        <w:rPr>
          <w:rFonts w:asciiTheme="majorHAnsi" w:hAnsiTheme="majorHAnsi"/>
        </w:rPr>
        <w:t xml:space="preserve">, including the more recent resurgence in outdoor and activity-based direct </w:t>
      </w:r>
      <w:r w:rsidR="003357DB" w:rsidRPr="088F2921">
        <w:rPr>
          <w:rFonts w:asciiTheme="majorHAnsi" w:hAnsiTheme="majorHAnsi"/>
        </w:rPr>
        <w:t>work, is</w:t>
      </w:r>
      <w:r w:rsidRPr="088F2921">
        <w:rPr>
          <w:rFonts w:asciiTheme="majorHAnsi" w:hAnsiTheme="majorHAnsi"/>
        </w:rPr>
        <w:t xml:space="preserve"> a strength as well as a potential risk. </w:t>
      </w:r>
    </w:p>
    <w:p w14:paraId="0F022CDF" w14:textId="77777777" w:rsidR="00EE05AA" w:rsidRPr="00EE05AA" w:rsidRDefault="00EE05AA" w:rsidP="260A14CD">
      <w:pPr>
        <w:spacing w:line="360" w:lineRule="auto"/>
        <w:contextualSpacing/>
        <w:rPr>
          <w:rFonts w:asciiTheme="majorHAnsi" w:hAnsiTheme="majorHAnsi"/>
        </w:rPr>
      </w:pPr>
    </w:p>
    <w:p w14:paraId="161265B3" w14:textId="3F863B07" w:rsidR="260A14CD" w:rsidRDefault="260A14CD" w:rsidP="088F2921">
      <w:pPr>
        <w:spacing w:line="360" w:lineRule="auto"/>
        <w:rPr>
          <w:rFonts w:asciiTheme="majorHAnsi" w:hAnsiTheme="majorHAnsi"/>
        </w:rPr>
      </w:pPr>
    </w:p>
    <w:p w14:paraId="618010BF" w14:textId="6472518E" w:rsidR="00EE05AA" w:rsidRPr="00EE05AA" w:rsidRDefault="00EE05AA" w:rsidP="088F2921">
      <w:pPr>
        <w:spacing w:line="360" w:lineRule="auto"/>
        <w:contextualSpacing/>
        <w:rPr>
          <w:rFonts w:asciiTheme="majorHAnsi" w:hAnsiTheme="majorHAnsi"/>
        </w:rPr>
      </w:pPr>
      <w:r w:rsidRPr="088F2921">
        <w:rPr>
          <w:rFonts w:asciiTheme="majorHAnsi" w:hAnsiTheme="majorHAnsi"/>
        </w:rPr>
        <w:t xml:space="preserve">There is a clear need for collaborative, inter-agency engagement, both at the level of service / organisational leads, and at practitioner level. References were made anecdotally to individuals </w:t>
      </w:r>
      <w:r w:rsidRPr="088F2921">
        <w:rPr>
          <w:rFonts w:asciiTheme="majorHAnsi" w:hAnsiTheme="majorHAnsi"/>
        </w:rPr>
        <w:lastRenderedPageBreak/>
        <w:t xml:space="preserve">who exemplified this level of inter-professional working; but some interviewees felt that this had become reduced in recent years. Most references to inter-agency / inter-professional working involved signposting and referring on, rather than </w:t>
      </w:r>
      <w:r w:rsidR="00680B26" w:rsidRPr="088F2921">
        <w:rPr>
          <w:rFonts w:asciiTheme="majorHAnsi" w:hAnsiTheme="majorHAnsi"/>
        </w:rPr>
        <w:t xml:space="preserve">active </w:t>
      </w:r>
      <w:r w:rsidRPr="088F2921">
        <w:rPr>
          <w:rFonts w:asciiTheme="majorHAnsi" w:hAnsiTheme="majorHAnsi"/>
        </w:rPr>
        <w:t>collaborative engagement, creating further challenges within a context of competition for funding</w:t>
      </w:r>
      <w:r w:rsidR="11FB0E49" w:rsidRPr="088F2921">
        <w:rPr>
          <w:rFonts w:asciiTheme="majorHAnsi" w:hAnsiTheme="majorHAnsi"/>
        </w:rPr>
        <w:t xml:space="preserve">, and raising challenges potentially with oversight and coordinated guidance and support. </w:t>
      </w:r>
    </w:p>
    <w:p w14:paraId="090F4FE6" w14:textId="65E7B9DD" w:rsidR="00EE05AA" w:rsidRDefault="00EE05AA" w:rsidP="00EB0731">
      <w:pPr>
        <w:spacing w:line="360" w:lineRule="auto"/>
        <w:contextualSpacing/>
        <w:rPr>
          <w:rFonts w:asciiTheme="majorHAnsi" w:hAnsiTheme="majorHAnsi"/>
        </w:rPr>
      </w:pPr>
    </w:p>
    <w:p w14:paraId="05D2519E" w14:textId="3DD43F7E" w:rsidR="00A14F5C" w:rsidRDefault="00A14F5C" w:rsidP="00EB0731">
      <w:pPr>
        <w:spacing w:line="360" w:lineRule="auto"/>
        <w:contextualSpacing/>
        <w:rPr>
          <w:rFonts w:asciiTheme="majorHAnsi" w:hAnsiTheme="majorHAnsi"/>
        </w:rPr>
      </w:pPr>
    </w:p>
    <w:p w14:paraId="1294977F" w14:textId="33808CE7" w:rsidR="00A14F5C" w:rsidRDefault="00A14F5C" w:rsidP="00EB0731">
      <w:pPr>
        <w:spacing w:line="360" w:lineRule="auto"/>
        <w:contextualSpacing/>
        <w:rPr>
          <w:rFonts w:asciiTheme="majorHAnsi" w:hAnsiTheme="majorHAnsi"/>
        </w:rPr>
      </w:pPr>
    </w:p>
    <w:p w14:paraId="65AA551B" w14:textId="77777777" w:rsidR="00A14F5C" w:rsidRPr="00EE05AA" w:rsidRDefault="00A14F5C" w:rsidP="00EB0731">
      <w:pPr>
        <w:spacing w:line="360" w:lineRule="auto"/>
        <w:contextualSpacing/>
        <w:rPr>
          <w:rFonts w:asciiTheme="majorHAnsi" w:hAnsiTheme="majorHAnsi"/>
        </w:rPr>
      </w:pPr>
    </w:p>
    <w:p w14:paraId="2B78DC3C" w14:textId="004AE494" w:rsidR="00EE05AA" w:rsidRPr="007A7CED" w:rsidRDefault="00A14F5C" w:rsidP="00EB0731">
      <w:pPr>
        <w:spacing w:line="360" w:lineRule="auto"/>
        <w:contextualSpacing/>
        <w:rPr>
          <w:rFonts w:asciiTheme="majorHAnsi" w:hAnsiTheme="majorHAnsi"/>
          <w:b/>
          <w:bCs/>
        </w:rPr>
      </w:pPr>
      <w:r>
        <w:rPr>
          <w:rFonts w:asciiTheme="majorHAnsi" w:hAnsiTheme="majorHAnsi"/>
          <w:b/>
          <w:bCs/>
        </w:rPr>
        <w:t>6</w:t>
      </w:r>
      <w:r w:rsidR="000414B2" w:rsidRPr="007A7CED">
        <w:rPr>
          <w:rFonts w:asciiTheme="majorHAnsi" w:hAnsiTheme="majorHAnsi"/>
          <w:b/>
          <w:bCs/>
        </w:rPr>
        <w:t xml:space="preserve">.2 </w:t>
      </w:r>
      <w:r w:rsidR="00EE05AA" w:rsidRPr="007A7CED">
        <w:rPr>
          <w:rFonts w:asciiTheme="majorHAnsi" w:hAnsiTheme="majorHAnsi"/>
          <w:b/>
          <w:bCs/>
        </w:rPr>
        <w:t>The research process</w:t>
      </w:r>
    </w:p>
    <w:p w14:paraId="2CF7C062" w14:textId="77777777" w:rsidR="007A7CED" w:rsidRPr="007A7CED" w:rsidRDefault="007A7CED" w:rsidP="005E7188">
      <w:pPr>
        <w:spacing w:line="360" w:lineRule="auto"/>
        <w:contextualSpacing/>
        <w:rPr>
          <w:rFonts w:asciiTheme="majorHAnsi" w:hAnsiTheme="majorHAnsi"/>
          <w:i/>
          <w:iCs/>
        </w:rPr>
      </w:pPr>
    </w:p>
    <w:p w14:paraId="60C581EF" w14:textId="7D7515E6" w:rsidR="005E7188" w:rsidRPr="007A7CED" w:rsidRDefault="009122F8" w:rsidP="088F2921">
      <w:pPr>
        <w:spacing w:line="360" w:lineRule="auto"/>
        <w:contextualSpacing/>
        <w:rPr>
          <w:rFonts w:asciiTheme="majorHAnsi" w:hAnsiTheme="majorHAnsi"/>
        </w:rPr>
      </w:pPr>
      <w:r w:rsidRPr="088F2921">
        <w:rPr>
          <w:rFonts w:asciiTheme="majorHAnsi" w:hAnsiTheme="majorHAnsi"/>
        </w:rPr>
        <w:t xml:space="preserve">The project has been delayed </w:t>
      </w:r>
      <w:r w:rsidR="007A7CED" w:rsidRPr="088F2921">
        <w:rPr>
          <w:rFonts w:asciiTheme="majorHAnsi" w:hAnsiTheme="majorHAnsi"/>
        </w:rPr>
        <w:t xml:space="preserve">at several stages </w:t>
      </w:r>
      <w:r w:rsidRPr="088F2921">
        <w:rPr>
          <w:rFonts w:asciiTheme="majorHAnsi" w:hAnsiTheme="majorHAnsi"/>
        </w:rPr>
        <w:t xml:space="preserve">by many factors including the initial contracting delays, challenges with physically accessing data needed </w:t>
      </w:r>
      <w:r w:rsidR="007E4DC8" w:rsidRPr="088F2921">
        <w:rPr>
          <w:rFonts w:asciiTheme="majorHAnsi" w:hAnsiTheme="majorHAnsi"/>
        </w:rPr>
        <w:t xml:space="preserve">and challenges with which young men were happy to be involved in the project (different to those initially identified) </w:t>
      </w:r>
      <w:r w:rsidRPr="088F2921">
        <w:rPr>
          <w:rFonts w:asciiTheme="majorHAnsi" w:hAnsiTheme="majorHAnsi"/>
        </w:rPr>
        <w:t xml:space="preserve">and </w:t>
      </w:r>
      <w:r w:rsidR="007A7CED" w:rsidRPr="088F2921">
        <w:rPr>
          <w:rFonts w:asciiTheme="majorHAnsi" w:hAnsiTheme="majorHAnsi"/>
        </w:rPr>
        <w:t xml:space="preserve">as time has moved on, </w:t>
      </w:r>
      <w:r w:rsidR="2F1BC1A6" w:rsidRPr="088F2921">
        <w:rPr>
          <w:rFonts w:asciiTheme="majorHAnsi" w:hAnsiTheme="majorHAnsi"/>
        </w:rPr>
        <w:t xml:space="preserve">and </w:t>
      </w:r>
      <w:r w:rsidR="007A7CED" w:rsidRPr="088F2921">
        <w:rPr>
          <w:rFonts w:asciiTheme="majorHAnsi" w:hAnsiTheme="majorHAnsi"/>
        </w:rPr>
        <w:t>challenges resulting from the personal and professional members of the research team. One of the strengths of the team has been our interdisciplinarity and breadth of practice and academic experience</w:t>
      </w:r>
      <w:r w:rsidR="49BE36B5" w:rsidRPr="088F2921">
        <w:rPr>
          <w:rFonts w:asciiTheme="majorHAnsi" w:hAnsiTheme="majorHAnsi"/>
        </w:rPr>
        <w:t xml:space="preserve"> and</w:t>
      </w:r>
      <w:r w:rsidR="007A7CED" w:rsidRPr="088F2921">
        <w:rPr>
          <w:rFonts w:asciiTheme="majorHAnsi" w:hAnsiTheme="majorHAnsi"/>
        </w:rPr>
        <w:t xml:space="preserve"> </w:t>
      </w:r>
      <w:r w:rsidR="13B2BF1A" w:rsidRPr="088F2921">
        <w:rPr>
          <w:rFonts w:asciiTheme="majorHAnsi" w:hAnsiTheme="majorHAnsi"/>
        </w:rPr>
        <w:t>w</w:t>
      </w:r>
      <w:r w:rsidR="007A7CED" w:rsidRPr="088F2921">
        <w:rPr>
          <w:rFonts w:asciiTheme="majorHAnsi" w:hAnsiTheme="majorHAnsi"/>
        </w:rPr>
        <w:t>hilst there have been some changes in terms of team composition over the course of this project due to a range of factors, th</w:t>
      </w:r>
      <w:r w:rsidR="307CCCA1" w:rsidRPr="088F2921">
        <w:rPr>
          <w:rFonts w:asciiTheme="majorHAnsi" w:hAnsiTheme="majorHAnsi"/>
        </w:rPr>
        <w:t>is</w:t>
      </w:r>
      <w:r w:rsidR="007A7CED" w:rsidRPr="088F2921">
        <w:rPr>
          <w:rFonts w:asciiTheme="majorHAnsi" w:hAnsiTheme="majorHAnsi"/>
        </w:rPr>
        <w:t xml:space="preserve"> interdisciplinarity </w:t>
      </w:r>
      <w:r w:rsidR="71A2A906" w:rsidRPr="088F2921">
        <w:rPr>
          <w:rFonts w:asciiTheme="majorHAnsi" w:hAnsiTheme="majorHAnsi"/>
        </w:rPr>
        <w:t xml:space="preserve">and complementarity </w:t>
      </w:r>
      <w:r w:rsidR="007A7CED" w:rsidRPr="088F2921">
        <w:rPr>
          <w:rFonts w:asciiTheme="majorHAnsi" w:hAnsiTheme="majorHAnsi"/>
        </w:rPr>
        <w:t xml:space="preserve">has remained at the core of our approach. </w:t>
      </w:r>
    </w:p>
    <w:p w14:paraId="574BCEA7" w14:textId="77777777" w:rsidR="007A7CED" w:rsidRPr="007A7CED" w:rsidRDefault="007A7CED" w:rsidP="005E7188">
      <w:pPr>
        <w:spacing w:line="360" w:lineRule="auto"/>
        <w:contextualSpacing/>
        <w:rPr>
          <w:rFonts w:asciiTheme="majorHAnsi" w:hAnsiTheme="majorHAnsi"/>
        </w:rPr>
      </w:pPr>
    </w:p>
    <w:p w14:paraId="19025E7A" w14:textId="110F34CB" w:rsidR="00EB0731" w:rsidRDefault="00EE05AA" w:rsidP="00EB0731">
      <w:pPr>
        <w:spacing w:line="360" w:lineRule="auto"/>
        <w:contextualSpacing/>
        <w:rPr>
          <w:rFonts w:asciiTheme="majorHAnsi" w:hAnsiTheme="majorHAnsi"/>
          <w:bCs/>
          <w:iCs/>
        </w:rPr>
      </w:pPr>
      <w:r w:rsidRPr="00EE05AA">
        <w:rPr>
          <w:rFonts w:asciiTheme="majorHAnsi" w:hAnsiTheme="majorHAnsi"/>
          <w:bCs/>
          <w:iCs/>
        </w:rPr>
        <w:t xml:space="preserve">This research study was designed to honour the principles of Participatory Action Research (PAR), where participants and researchers work collaboratively to establish goals, identify appropriate methods, collect and analyse data, and implement real-world changes arising from research findings (Kidd &amp; Kral, 2005). PAR is particularly suited for projects that, like the current project, are intended to identify and address inequalities. Therefore, early on in the research process, two members of the research team established a Reference Group of boys and young men local to Brighton and Hove, who met on four occasions during the planning stage. The boys </w:t>
      </w:r>
      <w:r w:rsidRPr="00EE05AA">
        <w:rPr>
          <w:rFonts w:asciiTheme="majorHAnsi" w:hAnsiTheme="majorHAnsi"/>
          <w:bCs/>
          <w:iCs/>
        </w:rPr>
        <w:lastRenderedPageBreak/>
        <w:t>and young men who comprised the Reference Group had experience of using some of the services and organisations oriented to supporting young men in the city, and were referred to us by contacts at those services / organisations. Group discussions and some one-to-one meetings between Reference Group members and members of the research team provided us with an overview of the types of issues of concern to young men, helping us to determine who we should interview in the main study, and what sort of questions we should ask</w:t>
      </w:r>
      <w:r w:rsidR="009122F8">
        <w:rPr>
          <w:rFonts w:asciiTheme="majorHAnsi" w:hAnsiTheme="majorHAnsi"/>
          <w:bCs/>
          <w:iCs/>
        </w:rPr>
        <w:t xml:space="preserve"> and how we should ask the questions</w:t>
      </w:r>
      <w:r w:rsidRPr="00EE05AA">
        <w:rPr>
          <w:rFonts w:asciiTheme="majorHAnsi" w:hAnsiTheme="majorHAnsi"/>
          <w:bCs/>
          <w:iCs/>
        </w:rPr>
        <w:t>. The interview schedule was written in collaboration with the Reference Group.</w:t>
      </w:r>
    </w:p>
    <w:p w14:paraId="2D04DBC8" w14:textId="32C0D330" w:rsidR="00EE05AA" w:rsidRPr="00EE05AA" w:rsidRDefault="00EE05AA" w:rsidP="00EB0731">
      <w:pPr>
        <w:spacing w:line="360" w:lineRule="auto"/>
        <w:contextualSpacing/>
        <w:rPr>
          <w:rFonts w:asciiTheme="majorHAnsi" w:hAnsiTheme="majorHAnsi"/>
          <w:bCs/>
          <w:iCs/>
        </w:rPr>
      </w:pPr>
    </w:p>
    <w:p w14:paraId="2E704CE4" w14:textId="695A8162" w:rsidR="00EE05AA" w:rsidRDefault="00EE05AA" w:rsidP="005E7188">
      <w:pPr>
        <w:spacing w:line="360" w:lineRule="auto"/>
        <w:contextualSpacing/>
        <w:rPr>
          <w:rFonts w:asciiTheme="majorHAnsi" w:hAnsiTheme="majorHAnsi"/>
          <w:bCs/>
          <w:iCs/>
        </w:rPr>
      </w:pPr>
      <w:r w:rsidRPr="00EE05AA">
        <w:rPr>
          <w:rFonts w:asciiTheme="majorHAnsi" w:hAnsiTheme="majorHAnsi"/>
          <w:bCs/>
          <w:iCs/>
        </w:rPr>
        <w:t xml:space="preserve">In keeping with our PAR approach, we recruited and paid two Peer Researchers, young men under 25 years old, to undertake interviews with the young men (18 years and over) study participants. The Peer Researchers were provided with training in approaches to interviewing, and were supervised closely by more experienced members of the research team. Like the Reference Group members – and crucially, the young men they were interviewing – the Peer Researchers had experience of using young people’s services / organisations, and were more able to empathise and identify with the participants’ experiences. Interviews conducted by the Peer Researchers with young men yielded particularly rich data. One of the Peer Researchers contributed a great deal to the data analysis </w:t>
      </w:r>
      <w:r w:rsidR="00C832CB" w:rsidRPr="00EE05AA">
        <w:rPr>
          <w:rFonts w:asciiTheme="majorHAnsi" w:hAnsiTheme="majorHAnsi"/>
          <w:bCs/>
          <w:iCs/>
        </w:rPr>
        <w:t>process and</w:t>
      </w:r>
      <w:r w:rsidRPr="00EE05AA">
        <w:rPr>
          <w:rFonts w:asciiTheme="majorHAnsi" w:hAnsiTheme="majorHAnsi"/>
          <w:bCs/>
          <w:iCs/>
        </w:rPr>
        <w:t xml:space="preserve"> checked the coherence of the analysis performed by more experienced research team members as it progressed. Owing to their other commitments, and the pragmatic challenges associated with the public health situation, neither Reference Group members nor Peer Researchers have contributed to the writing of this report, but we expect Peer Researchers to be involved in the writing of other published work arising from this study in the future</w:t>
      </w:r>
      <w:r w:rsidR="009122F8">
        <w:rPr>
          <w:rFonts w:asciiTheme="majorHAnsi" w:hAnsiTheme="majorHAnsi"/>
          <w:bCs/>
          <w:iCs/>
        </w:rPr>
        <w:t xml:space="preserve"> and with any presentations or dissemination events and activities.</w:t>
      </w:r>
      <w:r w:rsidRPr="00EE05AA">
        <w:rPr>
          <w:rFonts w:asciiTheme="majorHAnsi" w:hAnsiTheme="majorHAnsi"/>
          <w:bCs/>
          <w:iCs/>
        </w:rPr>
        <w:t xml:space="preserve"> </w:t>
      </w:r>
    </w:p>
    <w:p w14:paraId="2E3B4FD5" w14:textId="77777777" w:rsidR="00EB0731" w:rsidRPr="00EE05AA" w:rsidRDefault="00EB0731" w:rsidP="005E7188">
      <w:pPr>
        <w:spacing w:line="360" w:lineRule="auto"/>
        <w:contextualSpacing/>
        <w:rPr>
          <w:rFonts w:asciiTheme="majorHAnsi" w:hAnsiTheme="majorHAnsi"/>
          <w:bCs/>
          <w:iCs/>
        </w:rPr>
      </w:pPr>
    </w:p>
    <w:p w14:paraId="25429A60" w14:textId="6485228E" w:rsidR="00EE05AA" w:rsidRPr="00EE05AA" w:rsidRDefault="00EE05AA" w:rsidP="088F2921">
      <w:pPr>
        <w:spacing w:line="360" w:lineRule="auto"/>
        <w:contextualSpacing/>
        <w:rPr>
          <w:rFonts w:asciiTheme="majorHAnsi" w:hAnsiTheme="majorHAnsi"/>
        </w:rPr>
      </w:pPr>
      <w:r w:rsidRPr="088F2921">
        <w:rPr>
          <w:rFonts w:asciiTheme="majorHAnsi" w:hAnsiTheme="majorHAnsi"/>
        </w:rPr>
        <w:t xml:space="preserve">The public health situation in the UK deteriorated rapidly as a result of the COVID-19 pandemic </w:t>
      </w:r>
      <w:r w:rsidR="005E7188" w:rsidRPr="088F2921">
        <w:rPr>
          <w:rFonts w:asciiTheme="majorHAnsi" w:hAnsiTheme="majorHAnsi"/>
        </w:rPr>
        <w:t xml:space="preserve">at </w:t>
      </w:r>
      <w:r w:rsidRPr="088F2921">
        <w:rPr>
          <w:rFonts w:asciiTheme="majorHAnsi" w:hAnsiTheme="majorHAnsi"/>
        </w:rPr>
        <w:t xml:space="preserve">the time when we were preparing to interview young men. As a result, all in-person research data collection under the auspices of the University was </w:t>
      </w:r>
      <w:r w:rsidR="005E7188" w:rsidRPr="088F2921">
        <w:rPr>
          <w:rFonts w:asciiTheme="majorHAnsi" w:hAnsiTheme="majorHAnsi"/>
        </w:rPr>
        <w:t>halted</w:t>
      </w:r>
      <w:r w:rsidR="00EB0731" w:rsidRPr="088F2921">
        <w:rPr>
          <w:rFonts w:asciiTheme="majorHAnsi" w:hAnsiTheme="majorHAnsi"/>
        </w:rPr>
        <w:t xml:space="preserve">. In addition, </w:t>
      </w:r>
      <w:r w:rsidRPr="088F2921">
        <w:rPr>
          <w:rFonts w:asciiTheme="majorHAnsi" w:hAnsiTheme="majorHAnsi"/>
        </w:rPr>
        <w:t xml:space="preserve">Her Majesty’s </w:t>
      </w:r>
      <w:r w:rsidRPr="088F2921">
        <w:rPr>
          <w:rFonts w:asciiTheme="majorHAnsi" w:hAnsiTheme="majorHAnsi"/>
        </w:rPr>
        <w:lastRenderedPageBreak/>
        <w:t xml:space="preserve">Prison and Probation Service (HMPSS) temporarily stopped accepting research applications at this time, meaning that we were unable to apply to interview young men who were in detention. We responded quickly by moving interviews to telephone calls </w:t>
      </w:r>
      <w:r w:rsidR="00C832CB" w:rsidRPr="088F2921">
        <w:rPr>
          <w:rFonts w:asciiTheme="majorHAnsi" w:hAnsiTheme="majorHAnsi"/>
        </w:rPr>
        <w:t>only and</w:t>
      </w:r>
      <w:r w:rsidRPr="088F2921">
        <w:rPr>
          <w:rFonts w:asciiTheme="majorHAnsi" w:hAnsiTheme="majorHAnsi"/>
        </w:rPr>
        <w:t xml:space="preserve"> proceeded with recruitment via our contacts at services / organisations. All interviews with practitioners had been completed before the pandemic affected data collection. </w:t>
      </w:r>
      <w:r w:rsidR="007E4DC8" w:rsidRPr="088F2921">
        <w:rPr>
          <w:rFonts w:asciiTheme="majorHAnsi" w:hAnsiTheme="majorHAnsi"/>
        </w:rPr>
        <w:t>We are aware that the young men interviewed were not the young men initially identified as being those we had, in conjunction with BHCC, characteristics making them particularly suitable for inclusion in this project. This meant that the sample interviewed were less likely to have spent time in prison/other secure facilities or spent significant amounts of time in care. This was not for lack of trying on any stakeholder’s</w:t>
      </w:r>
      <w:r w:rsidR="22229807" w:rsidRPr="088F2921">
        <w:rPr>
          <w:rFonts w:asciiTheme="majorHAnsi" w:hAnsiTheme="majorHAnsi"/>
        </w:rPr>
        <w:t xml:space="preserve"> or researcher’s</w:t>
      </w:r>
      <w:r w:rsidR="007E4DC8" w:rsidRPr="088F2921">
        <w:rPr>
          <w:rFonts w:asciiTheme="majorHAnsi" w:hAnsiTheme="majorHAnsi"/>
        </w:rPr>
        <w:t xml:space="preserve"> part. Those interviewed had experienced a wide range of life events and had engaged with many services across the city. </w:t>
      </w:r>
      <w:r w:rsidR="0072268B" w:rsidRPr="088F2921">
        <w:rPr>
          <w:rFonts w:asciiTheme="majorHAnsi" w:hAnsiTheme="majorHAnsi"/>
        </w:rPr>
        <w:t>Whilst we may have been able to gain an insight into their journeys through and between services from the ‘deep dive’ process, this element was reduced in order to progress to the interviews and also as a result of COVID-</w:t>
      </w:r>
      <w:r w:rsidR="003357DB" w:rsidRPr="088F2921">
        <w:rPr>
          <w:rFonts w:asciiTheme="majorHAnsi" w:hAnsiTheme="majorHAnsi"/>
        </w:rPr>
        <w:t>19 restrictions</w:t>
      </w:r>
      <w:r w:rsidR="0072268B" w:rsidRPr="088F2921">
        <w:rPr>
          <w:rFonts w:asciiTheme="majorHAnsi" w:hAnsiTheme="majorHAnsi"/>
        </w:rPr>
        <w:t xml:space="preserve"> during much o</w:t>
      </w:r>
      <w:r w:rsidR="241E31E8" w:rsidRPr="088F2921">
        <w:rPr>
          <w:rFonts w:asciiTheme="majorHAnsi" w:hAnsiTheme="majorHAnsi"/>
        </w:rPr>
        <w:t>f</w:t>
      </w:r>
      <w:r w:rsidR="0072268B" w:rsidRPr="088F2921">
        <w:rPr>
          <w:rFonts w:asciiTheme="majorHAnsi" w:hAnsiTheme="majorHAnsi"/>
        </w:rPr>
        <w:t xml:space="preserve"> 2020. </w:t>
      </w:r>
    </w:p>
    <w:p w14:paraId="07291CA9" w14:textId="1EB16143" w:rsidR="00EE05AA" w:rsidRDefault="00EE05AA" w:rsidP="005E7188">
      <w:pPr>
        <w:spacing w:line="360" w:lineRule="auto"/>
        <w:contextualSpacing/>
        <w:rPr>
          <w:rFonts w:asciiTheme="majorHAnsi" w:hAnsiTheme="majorHAnsi"/>
          <w:b/>
          <w:bCs/>
        </w:rPr>
      </w:pPr>
    </w:p>
    <w:p w14:paraId="15ED0336" w14:textId="77777777" w:rsidR="00647372" w:rsidRPr="00EE05AA" w:rsidRDefault="00647372" w:rsidP="005E7188">
      <w:pPr>
        <w:spacing w:line="360" w:lineRule="auto"/>
        <w:contextualSpacing/>
        <w:rPr>
          <w:rFonts w:asciiTheme="majorHAnsi" w:hAnsiTheme="majorHAnsi"/>
          <w:b/>
          <w:bCs/>
        </w:rPr>
      </w:pPr>
    </w:p>
    <w:p w14:paraId="4F3D3352" w14:textId="48816D35" w:rsidR="00EE05AA" w:rsidRDefault="00A14F5C" w:rsidP="005E7188">
      <w:pPr>
        <w:spacing w:line="360" w:lineRule="auto"/>
        <w:contextualSpacing/>
        <w:rPr>
          <w:rFonts w:asciiTheme="majorHAnsi" w:hAnsiTheme="majorHAnsi"/>
          <w:b/>
          <w:bCs/>
        </w:rPr>
      </w:pPr>
      <w:r>
        <w:rPr>
          <w:rFonts w:asciiTheme="majorHAnsi" w:hAnsiTheme="majorHAnsi"/>
          <w:b/>
          <w:bCs/>
        </w:rPr>
        <w:t>6</w:t>
      </w:r>
      <w:r w:rsidR="000414B2">
        <w:rPr>
          <w:rFonts w:asciiTheme="majorHAnsi" w:hAnsiTheme="majorHAnsi"/>
          <w:b/>
          <w:bCs/>
        </w:rPr>
        <w:t xml:space="preserve">.3 </w:t>
      </w:r>
      <w:r w:rsidR="00EE05AA" w:rsidRPr="00EE05AA">
        <w:rPr>
          <w:rFonts w:asciiTheme="majorHAnsi" w:hAnsiTheme="majorHAnsi"/>
          <w:b/>
          <w:bCs/>
        </w:rPr>
        <w:t>Summary of recommendations for practice and service provision and development</w:t>
      </w:r>
    </w:p>
    <w:p w14:paraId="77CF1BB9" w14:textId="77777777" w:rsidR="00647372" w:rsidRPr="00EE05AA" w:rsidRDefault="00647372" w:rsidP="005E7188">
      <w:pPr>
        <w:spacing w:line="360" w:lineRule="auto"/>
        <w:contextualSpacing/>
        <w:rPr>
          <w:rFonts w:asciiTheme="majorHAnsi" w:hAnsiTheme="majorHAnsi"/>
          <w:b/>
          <w:bCs/>
        </w:rPr>
      </w:pPr>
    </w:p>
    <w:p w14:paraId="79E6A5E8" w14:textId="7C3AB856" w:rsidR="00EE05AA" w:rsidRPr="00301C85" w:rsidRDefault="00EE05AA" w:rsidP="088F2921">
      <w:pPr>
        <w:spacing w:line="360" w:lineRule="auto"/>
        <w:contextualSpacing/>
        <w:rPr>
          <w:rFonts w:asciiTheme="majorHAnsi" w:hAnsiTheme="majorHAnsi"/>
        </w:rPr>
      </w:pPr>
      <w:r w:rsidRPr="00301C85">
        <w:rPr>
          <w:rFonts w:asciiTheme="majorHAnsi" w:hAnsiTheme="majorHAnsi"/>
        </w:rPr>
        <w:t xml:space="preserve">The following recommendations </w:t>
      </w:r>
      <w:r w:rsidR="4F192014" w:rsidRPr="00301C85">
        <w:rPr>
          <w:rFonts w:asciiTheme="majorHAnsi" w:hAnsiTheme="majorHAnsi"/>
        </w:rPr>
        <w:t>have been</w:t>
      </w:r>
      <w:r w:rsidRPr="00301C85">
        <w:rPr>
          <w:rFonts w:asciiTheme="majorHAnsi" w:hAnsiTheme="majorHAnsi"/>
        </w:rPr>
        <w:t xml:space="preserve"> distilled from the analysis of interview data, considered in the wider context of relevant literature and an understanding of the local context for both services and young men. Emphasis is given largely to cross-cutting themes and recommendations, rather than on specific organisations, services or provision.</w:t>
      </w:r>
    </w:p>
    <w:p w14:paraId="20779C4F" w14:textId="02A259EE" w:rsidR="00EE05AA" w:rsidRPr="00301C85" w:rsidRDefault="00EE05AA" w:rsidP="005E7188">
      <w:pPr>
        <w:spacing w:line="360" w:lineRule="auto"/>
        <w:contextualSpacing/>
        <w:rPr>
          <w:rFonts w:asciiTheme="majorHAnsi" w:hAnsiTheme="majorHAnsi"/>
        </w:rPr>
      </w:pPr>
    </w:p>
    <w:p w14:paraId="2960AAC5" w14:textId="77777777" w:rsidR="00A14F5C" w:rsidRPr="00301C85" w:rsidRDefault="00A14F5C" w:rsidP="005E7188">
      <w:pPr>
        <w:spacing w:line="360" w:lineRule="auto"/>
        <w:contextualSpacing/>
        <w:rPr>
          <w:rFonts w:asciiTheme="majorHAnsi" w:hAnsiTheme="majorHAnsi"/>
        </w:rPr>
      </w:pPr>
    </w:p>
    <w:p w14:paraId="27B45340" w14:textId="0ACD1283" w:rsidR="00EE05AA" w:rsidRPr="00301C85" w:rsidRDefault="00A14F5C" w:rsidP="005E7188">
      <w:pPr>
        <w:spacing w:line="360" w:lineRule="auto"/>
        <w:contextualSpacing/>
        <w:rPr>
          <w:rFonts w:asciiTheme="majorHAnsi" w:hAnsiTheme="majorHAnsi"/>
          <w:i/>
          <w:iCs/>
        </w:rPr>
      </w:pPr>
      <w:r w:rsidRPr="00301C85">
        <w:rPr>
          <w:rFonts w:asciiTheme="majorHAnsi" w:hAnsiTheme="majorHAnsi"/>
          <w:i/>
          <w:iCs/>
        </w:rPr>
        <w:t xml:space="preserve">6.3.1 </w:t>
      </w:r>
      <w:r w:rsidR="00EE05AA" w:rsidRPr="00301C85">
        <w:rPr>
          <w:rFonts w:asciiTheme="majorHAnsi" w:hAnsiTheme="majorHAnsi"/>
          <w:i/>
          <w:iCs/>
        </w:rPr>
        <w:t>Young men, contexts and identity</w:t>
      </w:r>
    </w:p>
    <w:p w14:paraId="4BEA7BD7" w14:textId="18F39DBF" w:rsidR="00EE05AA" w:rsidRPr="00301C85" w:rsidRDefault="00EE05AA" w:rsidP="088F2921">
      <w:pPr>
        <w:pStyle w:val="ListParagraph"/>
        <w:numPr>
          <w:ilvl w:val="0"/>
          <w:numId w:val="19"/>
        </w:numPr>
        <w:spacing w:line="360" w:lineRule="auto"/>
        <w:ind w:left="360"/>
        <w:rPr>
          <w:rFonts w:asciiTheme="majorHAnsi" w:hAnsiTheme="majorHAnsi"/>
        </w:rPr>
      </w:pPr>
      <w:r w:rsidRPr="00301C85">
        <w:rPr>
          <w:rFonts w:asciiTheme="majorHAnsi" w:hAnsiTheme="majorHAnsi"/>
        </w:rPr>
        <w:t xml:space="preserve">A recognition and understanding of the systemic and ecological context in which young men reside, and how masculinity and related </w:t>
      </w:r>
      <w:r w:rsidR="00EB0731" w:rsidRPr="00301C85">
        <w:rPr>
          <w:rFonts w:asciiTheme="majorHAnsi" w:hAnsiTheme="majorHAnsi"/>
        </w:rPr>
        <w:t>intersectionalities</w:t>
      </w:r>
      <w:r w:rsidRPr="00301C85">
        <w:rPr>
          <w:rFonts w:asciiTheme="majorHAnsi" w:hAnsiTheme="majorHAnsi"/>
        </w:rPr>
        <w:t xml:space="preserve"> frame and impact on the lives </w:t>
      </w:r>
      <w:r w:rsidRPr="00301C85">
        <w:rPr>
          <w:rFonts w:asciiTheme="majorHAnsi" w:hAnsiTheme="majorHAnsi"/>
        </w:rPr>
        <w:lastRenderedPageBreak/>
        <w:t>and experiences of young men, is to be fostered amongst services and practitioners.</w:t>
      </w:r>
      <w:r w:rsidR="3730E8AD" w:rsidRPr="00301C85">
        <w:rPr>
          <w:rFonts w:asciiTheme="majorHAnsi" w:hAnsiTheme="majorHAnsi"/>
        </w:rPr>
        <w:t xml:space="preserve"> Whilst at the point of commissioning, the remit was less about masculinity than about interventions, the literature review and data collected illustrates the interconnectedness of these concepts and practices.</w:t>
      </w:r>
    </w:p>
    <w:p w14:paraId="7D9DCCC8" w14:textId="77777777" w:rsidR="00EE05AA" w:rsidRPr="00301C85" w:rsidRDefault="00EE05AA" w:rsidP="00EB0731">
      <w:pPr>
        <w:spacing w:line="360" w:lineRule="auto"/>
        <w:contextualSpacing/>
        <w:rPr>
          <w:rFonts w:asciiTheme="majorHAnsi" w:hAnsiTheme="majorHAnsi"/>
        </w:rPr>
      </w:pPr>
    </w:p>
    <w:p w14:paraId="29C60127" w14:textId="007D298B" w:rsidR="00EE05AA" w:rsidRPr="00301C85" w:rsidRDefault="00EE05AA" w:rsidP="088F2921">
      <w:pPr>
        <w:pStyle w:val="ListParagraph"/>
        <w:numPr>
          <w:ilvl w:val="0"/>
          <w:numId w:val="21"/>
        </w:numPr>
        <w:spacing w:line="360" w:lineRule="auto"/>
        <w:rPr>
          <w:rFonts w:asciiTheme="majorHAnsi" w:hAnsiTheme="majorHAnsi"/>
        </w:rPr>
      </w:pPr>
      <w:r w:rsidRPr="00301C85">
        <w:rPr>
          <w:rFonts w:asciiTheme="majorHAnsi" w:hAnsiTheme="majorHAnsi"/>
        </w:rPr>
        <w:t>Diverse spaces (physical locations and temporal opportunities) for young men to consider their beliefs about masculinity should be developed. These should include possibilities for exploring and developing identities and behaviours which are centred on emotional literacy and regulation. Such spaces and opportunities should encourage young men to interrogate theirs and other’s beliefs about “what men should be like”, and help them develop alternative conceptualisations of masculinity, including addressing barriers to help-seeking and their ability to access services. In particular, key to helping young men to understand and manage effectively their mental health, is encouraging them to</w:t>
      </w:r>
      <w:r w:rsidR="004C7BE1" w:rsidRPr="00301C85">
        <w:t xml:space="preserve"> attend to and develop their emotional literacy, contextualized within their lived experience</w:t>
      </w:r>
      <w:r w:rsidRPr="00301C85">
        <w:rPr>
          <w:rFonts w:asciiTheme="majorHAnsi" w:hAnsiTheme="majorHAnsi"/>
        </w:rPr>
        <w:t xml:space="preserve">. </w:t>
      </w:r>
    </w:p>
    <w:p w14:paraId="2C270F9C" w14:textId="77777777" w:rsidR="00EE05AA" w:rsidRPr="00301C85" w:rsidRDefault="00EE05AA" w:rsidP="00EB0731">
      <w:pPr>
        <w:spacing w:line="360" w:lineRule="auto"/>
        <w:contextualSpacing/>
        <w:rPr>
          <w:rFonts w:asciiTheme="majorHAnsi" w:hAnsiTheme="majorHAnsi"/>
        </w:rPr>
      </w:pPr>
    </w:p>
    <w:p w14:paraId="718E905C" w14:textId="5CAF640E" w:rsidR="00EE05AA" w:rsidRPr="00301C85" w:rsidRDefault="00EE05AA" w:rsidP="088F2921">
      <w:pPr>
        <w:pStyle w:val="ListParagraph"/>
        <w:numPr>
          <w:ilvl w:val="0"/>
          <w:numId w:val="19"/>
        </w:numPr>
        <w:spacing w:line="360" w:lineRule="auto"/>
        <w:ind w:left="360"/>
        <w:rPr>
          <w:rFonts w:asciiTheme="majorHAnsi" w:hAnsiTheme="majorHAnsi"/>
        </w:rPr>
      </w:pPr>
      <w:r w:rsidRPr="00301C85">
        <w:rPr>
          <w:rFonts w:asciiTheme="majorHAnsi" w:hAnsiTheme="majorHAnsi"/>
        </w:rPr>
        <w:t xml:space="preserve">Services and organisations should work towards diversifying their workforce in order to better represent the identities and experiences of young men they are orientated to supporting. This should also include the provision of activities </w:t>
      </w:r>
      <w:r w:rsidR="15D26D03" w:rsidRPr="00301C85">
        <w:rPr>
          <w:rFonts w:asciiTheme="majorHAnsi" w:hAnsiTheme="majorHAnsi"/>
        </w:rPr>
        <w:t xml:space="preserve">which may be </w:t>
      </w:r>
      <w:r w:rsidRPr="00301C85">
        <w:rPr>
          <w:rFonts w:asciiTheme="majorHAnsi" w:hAnsiTheme="majorHAnsi"/>
        </w:rPr>
        <w:t xml:space="preserve">of interest to young men </w:t>
      </w:r>
      <w:r w:rsidR="00420C92" w:rsidRPr="00301C85">
        <w:rPr>
          <w:rFonts w:asciiTheme="majorHAnsi" w:hAnsiTheme="majorHAnsi"/>
        </w:rPr>
        <w:t xml:space="preserve">and </w:t>
      </w:r>
      <w:r w:rsidRPr="00301C85">
        <w:rPr>
          <w:rFonts w:asciiTheme="majorHAnsi" w:hAnsiTheme="majorHAnsi"/>
        </w:rPr>
        <w:t xml:space="preserve">which model and exemplify positive experiences and representations of masculinity, through role modelling by practitioners and peers. </w:t>
      </w:r>
      <w:r w:rsidR="5C62BF36" w:rsidRPr="00301C85">
        <w:rPr>
          <w:rFonts w:asciiTheme="majorHAnsi" w:hAnsiTheme="majorHAnsi"/>
        </w:rPr>
        <w:t>Critically, s</w:t>
      </w:r>
      <w:r w:rsidRPr="00301C85">
        <w:rPr>
          <w:rFonts w:asciiTheme="majorHAnsi" w:hAnsiTheme="majorHAnsi"/>
        </w:rPr>
        <w:t xml:space="preserve">uch services should be codesigned with young men to ensure appropriateness of planned interventions and modes of delivery, as well as with the promotion of such services. </w:t>
      </w:r>
    </w:p>
    <w:p w14:paraId="20B563A8" w14:textId="77777777" w:rsidR="00647372" w:rsidRPr="00301C85" w:rsidRDefault="00647372" w:rsidP="000414B2">
      <w:pPr>
        <w:pStyle w:val="ListParagraph"/>
        <w:spacing w:line="360" w:lineRule="auto"/>
        <w:ind w:left="360"/>
        <w:rPr>
          <w:rFonts w:asciiTheme="majorHAnsi" w:hAnsiTheme="majorHAnsi"/>
        </w:rPr>
      </w:pPr>
    </w:p>
    <w:p w14:paraId="05451E93" w14:textId="4F9E4D85" w:rsidR="00EE05AA" w:rsidRPr="00301C85" w:rsidRDefault="00EE05AA" w:rsidP="088F2921">
      <w:pPr>
        <w:pStyle w:val="ListParagraph"/>
        <w:numPr>
          <w:ilvl w:val="0"/>
          <w:numId w:val="19"/>
        </w:numPr>
        <w:spacing w:line="360" w:lineRule="auto"/>
        <w:ind w:left="360"/>
        <w:rPr>
          <w:rFonts w:asciiTheme="majorHAnsi" w:hAnsiTheme="majorHAnsi"/>
        </w:rPr>
      </w:pPr>
      <w:r w:rsidRPr="00301C85">
        <w:rPr>
          <w:rFonts w:asciiTheme="majorHAnsi" w:hAnsiTheme="majorHAnsi"/>
        </w:rPr>
        <w:t>Any new interventions or models of working with young men should have evaluation embedded from the very start of the process. The literature and practice review carried out as part of this project clearly identifies this as a relative weakness in respect of existing projects where evaluation is limited and is largely related to funders’ needs</w:t>
      </w:r>
      <w:r w:rsidR="516ADE84" w:rsidRPr="00301C85">
        <w:rPr>
          <w:rFonts w:asciiTheme="majorHAnsi" w:hAnsiTheme="majorHAnsi"/>
        </w:rPr>
        <w:t xml:space="preserve"> or requirements</w:t>
      </w:r>
      <w:r w:rsidRPr="00301C85">
        <w:rPr>
          <w:rFonts w:asciiTheme="majorHAnsi" w:hAnsiTheme="majorHAnsi"/>
        </w:rPr>
        <w:t>.</w:t>
      </w:r>
    </w:p>
    <w:p w14:paraId="47B29856" w14:textId="77777777" w:rsidR="00EE05AA" w:rsidRPr="00301C85" w:rsidRDefault="00EE05AA" w:rsidP="00EB0731">
      <w:pPr>
        <w:spacing w:line="360" w:lineRule="auto"/>
        <w:contextualSpacing/>
        <w:rPr>
          <w:rFonts w:asciiTheme="majorHAnsi" w:hAnsiTheme="majorHAnsi"/>
        </w:rPr>
      </w:pPr>
    </w:p>
    <w:p w14:paraId="1F1AEA79" w14:textId="0A5761A4" w:rsidR="00680B26" w:rsidRPr="00301C85" w:rsidRDefault="00EE05AA" w:rsidP="002B29F6">
      <w:pPr>
        <w:pStyle w:val="ListParagraph"/>
        <w:numPr>
          <w:ilvl w:val="0"/>
          <w:numId w:val="19"/>
        </w:numPr>
        <w:spacing w:line="360" w:lineRule="auto"/>
        <w:ind w:left="360"/>
        <w:rPr>
          <w:rFonts w:asciiTheme="majorHAnsi" w:hAnsiTheme="majorHAnsi"/>
        </w:rPr>
      </w:pPr>
      <w:r w:rsidRPr="00301C85">
        <w:rPr>
          <w:rFonts w:asciiTheme="majorHAnsi" w:hAnsiTheme="majorHAnsi"/>
        </w:rPr>
        <w:t xml:space="preserve">Young men should be consulted regarding the physical location of service and issues of accessibility and safety in the broadest sense. </w:t>
      </w:r>
      <w:r w:rsidR="00420C92" w:rsidRPr="00301C85">
        <w:rPr>
          <w:rFonts w:asciiTheme="majorHAnsi" w:hAnsiTheme="majorHAnsi"/>
        </w:rPr>
        <w:t>N</w:t>
      </w:r>
      <w:r w:rsidR="00680B26" w:rsidRPr="00301C85">
        <w:rPr>
          <w:rFonts w:asciiTheme="majorHAnsi" w:hAnsiTheme="majorHAnsi"/>
        </w:rPr>
        <w:t>eighbourhood-based projects and interventions may promote engagement and accessibility given issues of travel/transport cost within the city.</w:t>
      </w:r>
    </w:p>
    <w:p w14:paraId="66A1EB96" w14:textId="77777777" w:rsidR="00680B26" w:rsidRPr="00301C85" w:rsidRDefault="00680B26" w:rsidP="00252AFB">
      <w:pPr>
        <w:pStyle w:val="ListParagraph"/>
        <w:rPr>
          <w:rFonts w:asciiTheme="majorHAnsi" w:hAnsiTheme="majorHAnsi"/>
        </w:rPr>
      </w:pPr>
    </w:p>
    <w:p w14:paraId="298AF828" w14:textId="65A0FF9C" w:rsidR="00EE05AA" w:rsidRPr="00301C85" w:rsidRDefault="00EE05AA" w:rsidP="260A14CD">
      <w:pPr>
        <w:pStyle w:val="ListParagraph"/>
        <w:numPr>
          <w:ilvl w:val="0"/>
          <w:numId w:val="19"/>
        </w:numPr>
        <w:spacing w:line="360" w:lineRule="auto"/>
        <w:ind w:left="360"/>
        <w:rPr>
          <w:rFonts w:asciiTheme="majorHAnsi" w:hAnsiTheme="majorHAnsi"/>
        </w:rPr>
      </w:pPr>
      <w:r w:rsidRPr="00301C85">
        <w:rPr>
          <w:rFonts w:asciiTheme="majorHAnsi" w:hAnsiTheme="majorHAnsi"/>
        </w:rPr>
        <w:t>Caution should be exercised when adopting specific interventions and models of intervention from elsewhere in order to ensure applicability and lack of disconnect with features of the specific local area / context.</w:t>
      </w:r>
      <w:r w:rsidR="1EC83B11" w:rsidRPr="00301C85">
        <w:rPr>
          <w:rFonts w:asciiTheme="majorHAnsi" w:hAnsiTheme="majorHAnsi"/>
        </w:rPr>
        <w:t xml:space="preserve"> However, when appropriately adapted to local needs and particular requirements, such models can provide a starting point for devising interventions</w:t>
      </w:r>
      <w:r w:rsidR="3658FC77" w:rsidRPr="00301C85">
        <w:rPr>
          <w:rFonts w:asciiTheme="majorHAnsi" w:hAnsiTheme="majorHAnsi"/>
        </w:rPr>
        <w:t xml:space="preserve">. </w:t>
      </w:r>
    </w:p>
    <w:p w14:paraId="12A1340D" w14:textId="4D568241" w:rsidR="00680B26" w:rsidRPr="00301C85" w:rsidRDefault="00680B26" w:rsidP="00EB0731">
      <w:pPr>
        <w:spacing w:line="360" w:lineRule="auto"/>
        <w:contextualSpacing/>
        <w:rPr>
          <w:rFonts w:asciiTheme="majorHAnsi" w:hAnsiTheme="majorHAnsi"/>
        </w:rPr>
      </w:pPr>
    </w:p>
    <w:p w14:paraId="0ACFE5E9" w14:textId="77777777" w:rsidR="00680B26" w:rsidRPr="00301C85" w:rsidRDefault="00680B26" w:rsidP="00EB0731">
      <w:pPr>
        <w:spacing w:line="360" w:lineRule="auto"/>
        <w:contextualSpacing/>
        <w:rPr>
          <w:rFonts w:asciiTheme="majorHAnsi" w:hAnsiTheme="majorHAnsi"/>
        </w:rPr>
      </w:pPr>
    </w:p>
    <w:p w14:paraId="77D170E0" w14:textId="018B98F0" w:rsidR="00EE05AA" w:rsidRPr="00301C85" w:rsidRDefault="00A14F5C" w:rsidP="00EB0731">
      <w:pPr>
        <w:spacing w:line="360" w:lineRule="auto"/>
        <w:contextualSpacing/>
        <w:rPr>
          <w:rFonts w:asciiTheme="majorHAnsi" w:hAnsiTheme="majorHAnsi"/>
          <w:i/>
          <w:iCs/>
        </w:rPr>
      </w:pPr>
      <w:r w:rsidRPr="00301C85">
        <w:rPr>
          <w:rFonts w:asciiTheme="majorHAnsi" w:hAnsiTheme="majorHAnsi"/>
          <w:i/>
          <w:iCs/>
        </w:rPr>
        <w:t xml:space="preserve">6.3.2 </w:t>
      </w:r>
      <w:r w:rsidR="00EE05AA" w:rsidRPr="00301C85">
        <w:rPr>
          <w:rFonts w:asciiTheme="majorHAnsi" w:hAnsiTheme="majorHAnsi"/>
          <w:i/>
          <w:iCs/>
        </w:rPr>
        <w:t>Relationships and interventions</w:t>
      </w:r>
    </w:p>
    <w:p w14:paraId="38E44553" w14:textId="68A90ED0" w:rsidR="00EE05AA" w:rsidRPr="00301C85" w:rsidRDefault="00EE05AA" w:rsidP="002B29F6">
      <w:pPr>
        <w:pStyle w:val="ListParagraph"/>
        <w:numPr>
          <w:ilvl w:val="0"/>
          <w:numId w:val="20"/>
        </w:numPr>
        <w:spacing w:line="360" w:lineRule="auto"/>
        <w:ind w:left="360"/>
        <w:rPr>
          <w:rFonts w:asciiTheme="majorHAnsi" w:hAnsiTheme="majorHAnsi"/>
        </w:rPr>
      </w:pPr>
      <w:r w:rsidRPr="00301C85">
        <w:rPr>
          <w:rFonts w:asciiTheme="majorHAnsi" w:hAnsiTheme="majorHAnsi"/>
        </w:rPr>
        <w:t>An understanding and acknowledgment of young men’s ‘home’ context is vital to effective, professional relationships and interventions. Where possible, work with parents or carers should also be fostered as key to supporting and enabling support and progress for young men, albeit not always as joint work with parents /carers.</w:t>
      </w:r>
    </w:p>
    <w:p w14:paraId="56083785" w14:textId="02196AB7" w:rsidR="00EE05AA" w:rsidRPr="00301C85" w:rsidRDefault="00EE05AA" w:rsidP="00252AFB">
      <w:pPr>
        <w:pStyle w:val="ListParagraph"/>
        <w:numPr>
          <w:ilvl w:val="0"/>
          <w:numId w:val="20"/>
        </w:numPr>
        <w:spacing w:line="360" w:lineRule="auto"/>
        <w:ind w:left="360"/>
        <w:rPr>
          <w:rFonts w:asciiTheme="majorHAnsi" w:hAnsiTheme="majorHAnsi"/>
        </w:rPr>
      </w:pPr>
      <w:r w:rsidRPr="00301C85">
        <w:rPr>
          <w:rFonts w:asciiTheme="majorHAnsi" w:hAnsiTheme="majorHAnsi"/>
        </w:rPr>
        <w:t>The significant impact of trauma upon young men’s well-being and development on many levels requires practitioner awareness and understanding. Services and interventions should be planned and provided on this basis accordingly, perhaps increasing the awareness and understanding of trauma upon relationships including ‘helping’ relationships</w:t>
      </w:r>
      <w:r w:rsidR="00680B26" w:rsidRPr="00301C85">
        <w:rPr>
          <w:rFonts w:asciiTheme="majorHAnsi" w:hAnsiTheme="majorHAnsi"/>
        </w:rPr>
        <w:t xml:space="preserve"> within both design and delivery of interventions and services</w:t>
      </w:r>
      <w:r w:rsidR="004C7BE1" w:rsidRPr="00301C85">
        <w:rPr>
          <w:rFonts w:asciiTheme="majorHAnsi" w:hAnsiTheme="majorHAnsi"/>
        </w:rPr>
        <w:t xml:space="preserve"> across all areas of service provision</w:t>
      </w:r>
      <w:r w:rsidRPr="00301C85">
        <w:rPr>
          <w:rFonts w:asciiTheme="majorHAnsi" w:hAnsiTheme="majorHAnsi"/>
        </w:rPr>
        <w:t>.</w:t>
      </w:r>
      <w:r w:rsidR="00680B26" w:rsidRPr="00301C85">
        <w:rPr>
          <w:rFonts w:asciiTheme="majorHAnsi" w:hAnsiTheme="majorHAnsi"/>
        </w:rPr>
        <w:t xml:space="preserve"> For example, drawing upon a trauma-informed approach when seeking to understand apparent lack or engagement or disengagement and the impact of services then being withdrawn. Th</w:t>
      </w:r>
      <w:r w:rsidR="004C7BE1" w:rsidRPr="00301C85">
        <w:rPr>
          <w:rFonts w:asciiTheme="majorHAnsi" w:hAnsiTheme="majorHAnsi"/>
        </w:rPr>
        <w:t xml:space="preserve">e importance of a trauma-informed </w:t>
      </w:r>
      <w:proofErr w:type="gramStart"/>
      <w:r w:rsidR="004C7BE1" w:rsidRPr="00301C85">
        <w:rPr>
          <w:rFonts w:asciiTheme="majorHAnsi" w:hAnsiTheme="majorHAnsi"/>
        </w:rPr>
        <w:t xml:space="preserve">approach </w:t>
      </w:r>
      <w:r w:rsidR="00680B26" w:rsidRPr="00301C85">
        <w:rPr>
          <w:rFonts w:asciiTheme="majorHAnsi" w:hAnsiTheme="majorHAnsi"/>
        </w:rPr>
        <w:t xml:space="preserve"> </w:t>
      </w:r>
      <w:r w:rsidR="004C7BE1" w:rsidRPr="00301C85">
        <w:rPr>
          <w:rFonts w:asciiTheme="majorHAnsi" w:hAnsiTheme="majorHAnsi"/>
        </w:rPr>
        <w:t>extends</w:t>
      </w:r>
      <w:proofErr w:type="gramEnd"/>
      <w:r w:rsidR="00680B26" w:rsidRPr="00301C85">
        <w:rPr>
          <w:rFonts w:asciiTheme="majorHAnsi" w:hAnsiTheme="majorHAnsi"/>
        </w:rPr>
        <w:t xml:space="preserve"> beyond statutory services</w:t>
      </w:r>
      <w:r w:rsidR="004C7BE1" w:rsidRPr="00301C85">
        <w:rPr>
          <w:rFonts w:asciiTheme="majorHAnsi" w:hAnsiTheme="majorHAnsi"/>
        </w:rPr>
        <w:t xml:space="preserve">. </w:t>
      </w:r>
      <w:r w:rsidR="00680B26" w:rsidRPr="00301C85">
        <w:rPr>
          <w:rFonts w:asciiTheme="majorHAnsi" w:hAnsiTheme="majorHAnsi"/>
        </w:rPr>
        <w:t xml:space="preserve"> </w:t>
      </w:r>
    </w:p>
    <w:p w14:paraId="1446C52E" w14:textId="1B970DDA" w:rsidR="00EE05AA" w:rsidRPr="00301C85" w:rsidRDefault="00EE05AA" w:rsidP="088F2921">
      <w:pPr>
        <w:pStyle w:val="ListParagraph"/>
        <w:numPr>
          <w:ilvl w:val="0"/>
          <w:numId w:val="20"/>
        </w:numPr>
        <w:spacing w:line="360" w:lineRule="auto"/>
        <w:ind w:left="360"/>
        <w:rPr>
          <w:rFonts w:asciiTheme="majorHAnsi" w:hAnsiTheme="majorHAnsi"/>
        </w:rPr>
      </w:pPr>
      <w:r w:rsidRPr="00301C85">
        <w:rPr>
          <w:rFonts w:asciiTheme="majorHAnsi" w:hAnsiTheme="majorHAnsi"/>
        </w:rPr>
        <w:lastRenderedPageBreak/>
        <w:t>Provision of services should be based on the promotion and development of sustained, person-centred relationships, which affirm and validate young men, whilst exploring identities, choices and behaviours. Such provision and relationships should encompass flexibility and choice, insofar as is possible, in engagement and the focus of interventions should ensure relationships and interventions acknowledge</w:t>
      </w:r>
      <w:r w:rsidR="462317C4" w:rsidRPr="00301C85">
        <w:rPr>
          <w:rFonts w:asciiTheme="majorHAnsi" w:hAnsiTheme="majorHAnsi"/>
        </w:rPr>
        <w:t>, recognise</w:t>
      </w:r>
      <w:r w:rsidRPr="00301C85">
        <w:rPr>
          <w:rFonts w:asciiTheme="majorHAnsi" w:hAnsiTheme="majorHAnsi"/>
        </w:rPr>
        <w:t xml:space="preserve"> and work with young men in the context of their sometimes complex and fractured lives.   </w:t>
      </w:r>
      <w:r w:rsidR="00CF4B44" w:rsidRPr="00301C85">
        <w:rPr>
          <w:rFonts w:asciiTheme="majorHAnsi" w:hAnsiTheme="majorHAnsi"/>
        </w:rPr>
        <w:t xml:space="preserve">This means a degree of flexibility regarding mode of contact, length of contact and hours of contact, as well as some consideration of the nature of, and boundaries to, the working relationship are key. </w:t>
      </w:r>
    </w:p>
    <w:p w14:paraId="7A0743B5" w14:textId="77777777" w:rsidR="00EE05AA" w:rsidRPr="00301C85" w:rsidRDefault="00EE05AA" w:rsidP="00EB0731">
      <w:pPr>
        <w:spacing w:line="360" w:lineRule="auto"/>
        <w:contextualSpacing/>
        <w:rPr>
          <w:rFonts w:asciiTheme="majorHAnsi" w:hAnsiTheme="majorHAnsi"/>
        </w:rPr>
      </w:pPr>
    </w:p>
    <w:p w14:paraId="03BD7A55" w14:textId="3F0D95F5" w:rsidR="00EE05AA" w:rsidRPr="00301C85" w:rsidRDefault="00EE05AA" w:rsidP="088F2921">
      <w:pPr>
        <w:pStyle w:val="ListParagraph"/>
        <w:numPr>
          <w:ilvl w:val="0"/>
          <w:numId w:val="20"/>
        </w:numPr>
        <w:spacing w:line="360" w:lineRule="auto"/>
        <w:ind w:left="360"/>
        <w:rPr>
          <w:rFonts w:asciiTheme="majorHAnsi" w:hAnsiTheme="majorHAnsi"/>
        </w:rPr>
      </w:pPr>
      <w:r w:rsidRPr="00301C85">
        <w:rPr>
          <w:rFonts w:asciiTheme="majorHAnsi" w:hAnsiTheme="majorHAnsi"/>
        </w:rPr>
        <w:t xml:space="preserve">Exploitation, in all forms, needs to be understood in terms of its dynamics, processes and impact, when designing practice interventions in order to establish trust and support changes to patterns of thinking and behaviour. Understanding this from the young men’s perspectives is key to providing an engaging service. </w:t>
      </w:r>
      <w:r w:rsidR="41FF6F01" w:rsidRPr="00301C85">
        <w:rPr>
          <w:rFonts w:asciiTheme="majorHAnsi" w:hAnsiTheme="majorHAnsi"/>
        </w:rPr>
        <w:t xml:space="preserve">More punitive approaches have been the norm within public policy in the arenas of youth justice and organised crime (Thompson, 2019) and so </w:t>
      </w:r>
      <w:r w:rsidR="07E25AFA" w:rsidRPr="00301C85">
        <w:rPr>
          <w:rFonts w:asciiTheme="majorHAnsi" w:hAnsiTheme="majorHAnsi"/>
        </w:rPr>
        <w:t xml:space="preserve">supportive interventions, as far as possible, should be the first priority, again, recognising </w:t>
      </w:r>
      <w:proofErr w:type="gramStart"/>
      <w:r w:rsidR="07E25AFA" w:rsidRPr="00301C85">
        <w:rPr>
          <w:rFonts w:asciiTheme="majorHAnsi" w:hAnsiTheme="majorHAnsi"/>
        </w:rPr>
        <w:t xml:space="preserve">the </w:t>
      </w:r>
      <w:r w:rsidR="41FF6F01" w:rsidRPr="00301C85">
        <w:rPr>
          <w:rFonts w:asciiTheme="majorHAnsi" w:hAnsiTheme="majorHAnsi"/>
        </w:rPr>
        <w:t xml:space="preserve"> </w:t>
      </w:r>
      <w:r w:rsidR="2CA7E174" w:rsidRPr="00301C85">
        <w:rPr>
          <w:rFonts w:asciiTheme="majorHAnsi" w:hAnsiTheme="majorHAnsi"/>
        </w:rPr>
        <w:t>vulnerability</w:t>
      </w:r>
      <w:proofErr w:type="gramEnd"/>
      <w:r w:rsidR="2CA7E174" w:rsidRPr="00301C85">
        <w:rPr>
          <w:rFonts w:asciiTheme="majorHAnsi" w:hAnsiTheme="majorHAnsi"/>
        </w:rPr>
        <w:t xml:space="preserve"> to exploitation to harm. </w:t>
      </w:r>
    </w:p>
    <w:p w14:paraId="170AC0DC" w14:textId="77777777" w:rsidR="00EE05AA" w:rsidRPr="00301C85" w:rsidRDefault="00EE05AA" w:rsidP="00EB0731">
      <w:pPr>
        <w:spacing w:line="360" w:lineRule="auto"/>
        <w:contextualSpacing/>
        <w:rPr>
          <w:rFonts w:asciiTheme="majorHAnsi" w:hAnsiTheme="majorHAnsi"/>
        </w:rPr>
      </w:pPr>
    </w:p>
    <w:p w14:paraId="12957152" w14:textId="77777777" w:rsidR="00EE05AA" w:rsidRPr="00301C85" w:rsidRDefault="00EE05AA" w:rsidP="002B29F6">
      <w:pPr>
        <w:pStyle w:val="ListParagraph"/>
        <w:numPr>
          <w:ilvl w:val="0"/>
          <w:numId w:val="20"/>
        </w:numPr>
        <w:spacing w:line="360" w:lineRule="auto"/>
        <w:ind w:left="360"/>
        <w:rPr>
          <w:rFonts w:asciiTheme="majorHAnsi" w:hAnsiTheme="majorHAnsi"/>
        </w:rPr>
      </w:pPr>
      <w:r w:rsidRPr="00301C85">
        <w:rPr>
          <w:rFonts w:asciiTheme="majorHAnsi" w:hAnsiTheme="majorHAnsi"/>
        </w:rPr>
        <w:t>Opportunities for person-centred mentoring or coaching and individualised support/guidance to be facilitated in schools and colleges and encouraged where possible, through employers and training providers.</w:t>
      </w:r>
    </w:p>
    <w:p w14:paraId="0A290F83" w14:textId="77777777" w:rsidR="00EE05AA" w:rsidRPr="00301C85" w:rsidRDefault="00EE05AA" w:rsidP="00EB0731">
      <w:pPr>
        <w:spacing w:line="360" w:lineRule="auto"/>
        <w:ind w:left="360"/>
        <w:contextualSpacing/>
        <w:rPr>
          <w:rFonts w:asciiTheme="majorHAnsi" w:hAnsiTheme="majorHAnsi"/>
        </w:rPr>
      </w:pPr>
    </w:p>
    <w:p w14:paraId="6444DB52" w14:textId="77777777" w:rsidR="00EE05AA" w:rsidRPr="00301C85" w:rsidRDefault="00EE05AA" w:rsidP="00EB0731">
      <w:pPr>
        <w:spacing w:line="360" w:lineRule="auto"/>
        <w:contextualSpacing/>
        <w:rPr>
          <w:rFonts w:asciiTheme="majorHAnsi" w:hAnsiTheme="majorHAnsi"/>
        </w:rPr>
      </w:pPr>
    </w:p>
    <w:p w14:paraId="409EC49C" w14:textId="4A1A38E9" w:rsidR="00EE05AA" w:rsidRPr="00301C85" w:rsidRDefault="00A14F5C" w:rsidP="00EB0731">
      <w:pPr>
        <w:spacing w:line="360" w:lineRule="auto"/>
        <w:contextualSpacing/>
        <w:rPr>
          <w:rFonts w:asciiTheme="majorHAnsi" w:hAnsiTheme="majorHAnsi"/>
          <w:i/>
          <w:iCs/>
        </w:rPr>
      </w:pPr>
      <w:r w:rsidRPr="00301C85">
        <w:rPr>
          <w:rFonts w:asciiTheme="majorHAnsi" w:hAnsiTheme="majorHAnsi"/>
          <w:i/>
          <w:iCs/>
        </w:rPr>
        <w:t xml:space="preserve">6.3.3 </w:t>
      </w:r>
      <w:r w:rsidR="00EE05AA" w:rsidRPr="00301C85">
        <w:rPr>
          <w:rFonts w:asciiTheme="majorHAnsi" w:hAnsiTheme="majorHAnsi"/>
          <w:i/>
          <w:iCs/>
        </w:rPr>
        <w:t>Structures and services</w:t>
      </w:r>
    </w:p>
    <w:p w14:paraId="25E97D20" w14:textId="77777777" w:rsidR="00EE05AA" w:rsidRPr="00301C85" w:rsidRDefault="00EE05AA" w:rsidP="002B29F6">
      <w:pPr>
        <w:pStyle w:val="ListParagraph"/>
        <w:numPr>
          <w:ilvl w:val="0"/>
          <w:numId w:val="22"/>
        </w:numPr>
        <w:spacing w:line="360" w:lineRule="auto"/>
        <w:ind w:left="360"/>
        <w:rPr>
          <w:rFonts w:asciiTheme="majorHAnsi" w:hAnsiTheme="majorHAnsi"/>
        </w:rPr>
      </w:pPr>
      <w:r w:rsidRPr="00301C85">
        <w:rPr>
          <w:rFonts w:asciiTheme="majorHAnsi" w:hAnsiTheme="majorHAnsi"/>
        </w:rPr>
        <w:t>Services to develop clear protocols for working and engaging with young men which are held and adhered consistently to within teams.</w:t>
      </w:r>
    </w:p>
    <w:p w14:paraId="0971F00C" w14:textId="77777777" w:rsidR="00EE05AA" w:rsidRPr="00301C85" w:rsidRDefault="00EE05AA" w:rsidP="00EB0731">
      <w:pPr>
        <w:spacing w:line="360" w:lineRule="auto"/>
        <w:contextualSpacing/>
        <w:rPr>
          <w:rFonts w:asciiTheme="majorHAnsi" w:hAnsiTheme="majorHAnsi"/>
        </w:rPr>
      </w:pPr>
    </w:p>
    <w:p w14:paraId="7312B168" w14:textId="319D3D53" w:rsidR="00EE05AA" w:rsidRPr="00301C85" w:rsidRDefault="00EE05AA" w:rsidP="002B29F6">
      <w:pPr>
        <w:pStyle w:val="ListParagraph"/>
        <w:numPr>
          <w:ilvl w:val="0"/>
          <w:numId w:val="22"/>
        </w:numPr>
        <w:spacing w:line="360" w:lineRule="auto"/>
        <w:ind w:left="360"/>
        <w:rPr>
          <w:rFonts w:asciiTheme="majorHAnsi" w:hAnsiTheme="majorHAnsi"/>
        </w:rPr>
      </w:pPr>
      <w:r w:rsidRPr="00301C85">
        <w:rPr>
          <w:rFonts w:asciiTheme="majorHAnsi" w:hAnsiTheme="majorHAnsi"/>
        </w:rPr>
        <w:lastRenderedPageBreak/>
        <w:t>Consideration of furthering key-worker</w:t>
      </w:r>
      <w:r w:rsidR="00420C92" w:rsidRPr="00301C85">
        <w:rPr>
          <w:rFonts w:asciiTheme="majorHAnsi" w:hAnsiTheme="majorHAnsi"/>
        </w:rPr>
        <w:t xml:space="preserve"> / mentor</w:t>
      </w:r>
      <w:r w:rsidRPr="00301C85">
        <w:rPr>
          <w:rFonts w:asciiTheme="majorHAnsi" w:hAnsiTheme="majorHAnsi"/>
        </w:rPr>
        <w:t xml:space="preserve"> models</w:t>
      </w:r>
      <w:r w:rsidR="00CF4B44" w:rsidRPr="00301C85">
        <w:rPr>
          <w:rFonts w:asciiTheme="majorHAnsi" w:hAnsiTheme="majorHAnsi"/>
        </w:rPr>
        <w:t xml:space="preserve"> </w:t>
      </w:r>
      <w:r w:rsidRPr="00301C85">
        <w:rPr>
          <w:rFonts w:asciiTheme="majorHAnsi" w:hAnsiTheme="majorHAnsi"/>
        </w:rPr>
        <w:t>and strategies for services for young men who are engaged with multiple service provision.</w:t>
      </w:r>
    </w:p>
    <w:p w14:paraId="2F2CD3B3" w14:textId="77777777" w:rsidR="00EE05AA" w:rsidRPr="00301C85" w:rsidRDefault="00EE05AA" w:rsidP="00EB0731">
      <w:pPr>
        <w:spacing w:line="360" w:lineRule="auto"/>
        <w:contextualSpacing/>
        <w:rPr>
          <w:rFonts w:asciiTheme="majorHAnsi" w:hAnsiTheme="majorHAnsi"/>
        </w:rPr>
      </w:pPr>
    </w:p>
    <w:p w14:paraId="65C249AD" w14:textId="77777777" w:rsidR="00EE05AA" w:rsidRPr="00301C85" w:rsidRDefault="00EE05AA" w:rsidP="002B29F6">
      <w:pPr>
        <w:pStyle w:val="ListParagraph"/>
        <w:numPr>
          <w:ilvl w:val="0"/>
          <w:numId w:val="22"/>
        </w:numPr>
        <w:spacing w:line="360" w:lineRule="auto"/>
        <w:ind w:left="360"/>
        <w:rPr>
          <w:rFonts w:asciiTheme="majorHAnsi" w:hAnsiTheme="majorHAnsi"/>
        </w:rPr>
      </w:pPr>
      <w:r w:rsidRPr="00301C85">
        <w:rPr>
          <w:rFonts w:asciiTheme="majorHAnsi" w:hAnsiTheme="majorHAnsi"/>
        </w:rPr>
        <w:t>Collaborative ‘alternative’ pathways to be developed in partnership with community/third sector providers to complement ‘statutory’ provision.</w:t>
      </w:r>
    </w:p>
    <w:p w14:paraId="69914EE8" w14:textId="77777777" w:rsidR="00EE05AA" w:rsidRPr="00301C85" w:rsidRDefault="00EE05AA" w:rsidP="00EB0731">
      <w:pPr>
        <w:spacing w:line="360" w:lineRule="auto"/>
        <w:contextualSpacing/>
        <w:rPr>
          <w:rFonts w:asciiTheme="majorHAnsi" w:hAnsiTheme="majorHAnsi"/>
        </w:rPr>
      </w:pPr>
    </w:p>
    <w:p w14:paraId="068D0B0D" w14:textId="750CBEE1" w:rsidR="00EE05AA" w:rsidRPr="00301C85" w:rsidRDefault="00EE05AA" w:rsidP="088F2921">
      <w:pPr>
        <w:pStyle w:val="ListParagraph"/>
        <w:numPr>
          <w:ilvl w:val="0"/>
          <w:numId w:val="22"/>
        </w:numPr>
        <w:spacing w:line="360" w:lineRule="auto"/>
        <w:ind w:left="360"/>
        <w:rPr>
          <w:rFonts w:asciiTheme="majorHAnsi" w:hAnsiTheme="majorHAnsi"/>
        </w:rPr>
      </w:pPr>
      <w:r w:rsidRPr="00301C85">
        <w:rPr>
          <w:rFonts w:asciiTheme="majorHAnsi" w:hAnsiTheme="majorHAnsi"/>
        </w:rPr>
        <w:t>Personalised approaches to mental healthcare that accounts for trauma experienced will help to ensure that young men receive the appropriate level and form of intervention</w:t>
      </w:r>
      <w:r w:rsidR="3D834D87" w:rsidRPr="00301C85">
        <w:rPr>
          <w:rFonts w:asciiTheme="majorHAnsi" w:hAnsiTheme="majorHAnsi"/>
        </w:rPr>
        <w:t>, although access to services also requires some consideration</w:t>
      </w:r>
      <w:r w:rsidRPr="00301C85">
        <w:rPr>
          <w:rFonts w:asciiTheme="majorHAnsi" w:hAnsiTheme="majorHAnsi"/>
        </w:rPr>
        <w:t xml:space="preserve">. </w:t>
      </w:r>
    </w:p>
    <w:p w14:paraId="6BEDB35C" w14:textId="77777777" w:rsidR="00EE05AA" w:rsidRPr="00301C85" w:rsidRDefault="00EE05AA" w:rsidP="00EB0731">
      <w:pPr>
        <w:spacing w:line="360" w:lineRule="auto"/>
        <w:contextualSpacing/>
        <w:rPr>
          <w:rFonts w:asciiTheme="majorHAnsi" w:hAnsiTheme="majorHAnsi"/>
        </w:rPr>
      </w:pPr>
    </w:p>
    <w:p w14:paraId="1906AEC2" w14:textId="78DBC903" w:rsidR="00EE05AA" w:rsidRPr="00301C85" w:rsidRDefault="00EE05AA" w:rsidP="088F2921">
      <w:pPr>
        <w:pStyle w:val="ListParagraph"/>
        <w:numPr>
          <w:ilvl w:val="0"/>
          <w:numId w:val="22"/>
        </w:numPr>
        <w:spacing w:line="360" w:lineRule="auto"/>
        <w:ind w:left="360"/>
        <w:rPr>
          <w:rFonts w:asciiTheme="majorHAnsi" w:hAnsiTheme="majorHAnsi"/>
        </w:rPr>
      </w:pPr>
      <w:r w:rsidRPr="00301C85">
        <w:rPr>
          <w:rFonts w:asciiTheme="majorHAnsi" w:hAnsiTheme="majorHAnsi"/>
        </w:rPr>
        <w:t>It is important to consider the accessibility and meaningfulness of services and processes designed to tackle ‘adult’ offending behaviour, and the safety and relatability elements of these for young men.</w:t>
      </w:r>
      <w:r w:rsidR="54211421" w:rsidRPr="00301C85">
        <w:rPr>
          <w:rFonts w:asciiTheme="majorHAnsi" w:hAnsiTheme="majorHAnsi"/>
        </w:rPr>
        <w:t xml:space="preserve"> Without this, some young men will not see these interventions as ‘applying’ to their </w:t>
      </w:r>
      <w:r w:rsidR="004C7BE1" w:rsidRPr="00301C85">
        <w:rPr>
          <w:rFonts w:asciiTheme="majorHAnsi" w:hAnsiTheme="majorHAnsi"/>
        </w:rPr>
        <w:t>situations</w:t>
      </w:r>
      <w:r w:rsidR="54211421" w:rsidRPr="00301C85">
        <w:rPr>
          <w:rFonts w:asciiTheme="majorHAnsi" w:hAnsiTheme="majorHAnsi"/>
        </w:rPr>
        <w:t xml:space="preserve">, thus limiting impact. </w:t>
      </w:r>
    </w:p>
    <w:p w14:paraId="306B1654" w14:textId="77777777" w:rsidR="00EE05AA" w:rsidRPr="00301C85" w:rsidRDefault="00EE05AA" w:rsidP="00EB0731">
      <w:pPr>
        <w:spacing w:line="360" w:lineRule="auto"/>
        <w:contextualSpacing/>
        <w:rPr>
          <w:rFonts w:asciiTheme="majorHAnsi" w:hAnsiTheme="majorHAnsi"/>
        </w:rPr>
      </w:pPr>
    </w:p>
    <w:p w14:paraId="174463CB" w14:textId="429681DC" w:rsidR="00EE05AA" w:rsidRPr="00301C85" w:rsidRDefault="00EE05AA" w:rsidP="088F2921">
      <w:pPr>
        <w:pStyle w:val="ListParagraph"/>
        <w:numPr>
          <w:ilvl w:val="0"/>
          <w:numId w:val="22"/>
        </w:numPr>
        <w:spacing w:line="360" w:lineRule="auto"/>
        <w:ind w:left="360"/>
        <w:rPr>
          <w:rFonts w:asciiTheme="majorHAnsi" w:hAnsiTheme="majorHAnsi"/>
        </w:rPr>
      </w:pPr>
      <w:r w:rsidRPr="00301C85">
        <w:rPr>
          <w:rFonts w:asciiTheme="majorHAnsi" w:hAnsiTheme="majorHAnsi"/>
        </w:rPr>
        <w:t>Service mangers, leaders and strategists should maintain openness and awareness of how funding</w:t>
      </w:r>
      <w:r w:rsidR="0F2B0204" w:rsidRPr="00301C85">
        <w:rPr>
          <w:rFonts w:asciiTheme="majorHAnsi" w:hAnsiTheme="majorHAnsi"/>
        </w:rPr>
        <w:t>, conceptuali</w:t>
      </w:r>
      <w:r w:rsidR="004C7BE1" w:rsidRPr="00301C85">
        <w:rPr>
          <w:rFonts w:asciiTheme="majorHAnsi" w:hAnsiTheme="majorHAnsi"/>
        </w:rPr>
        <w:t>s</w:t>
      </w:r>
      <w:r w:rsidR="0F2B0204" w:rsidRPr="00301C85">
        <w:rPr>
          <w:rFonts w:asciiTheme="majorHAnsi" w:hAnsiTheme="majorHAnsi"/>
        </w:rPr>
        <w:t xml:space="preserve">ations of risk, </w:t>
      </w:r>
      <w:r w:rsidRPr="00301C85">
        <w:rPr>
          <w:rFonts w:asciiTheme="majorHAnsi" w:hAnsiTheme="majorHAnsi"/>
        </w:rPr>
        <w:t>and other ‘threshold’ strategies can disadvantage young men in need</w:t>
      </w:r>
    </w:p>
    <w:p w14:paraId="35B51CF7" w14:textId="77777777" w:rsidR="00EE05AA" w:rsidRPr="00301C85" w:rsidRDefault="00EE05AA" w:rsidP="00EB0731">
      <w:pPr>
        <w:spacing w:line="360" w:lineRule="auto"/>
        <w:contextualSpacing/>
        <w:rPr>
          <w:rFonts w:asciiTheme="majorHAnsi" w:hAnsiTheme="majorHAnsi"/>
        </w:rPr>
      </w:pPr>
    </w:p>
    <w:p w14:paraId="00250EBE" w14:textId="0D89D88D" w:rsidR="00EE05AA" w:rsidRPr="00301C85" w:rsidRDefault="00EE05AA" w:rsidP="088F2921">
      <w:pPr>
        <w:pStyle w:val="ListParagraph"/>
        <w:numPr>
          <w:ilvl w:val="0"/>
          <w:numId w:val="22"/>
        </w:numPr>
        <w:spacing w:line="360" w:lineRule="auto"/>
        <w:ind w:left="360"/>
        <w:rPr>
          <w:rFonts w:asciiTheme="majorHAnsi" w:hAnsiTheme="majorHAnsi"/>
        </w:rPr>
      </w:pPr>
      <w:r w:rsidRPr="00301C85">
        <w:rPr>
          <w:rFonts w:asciiTheme="majorHAnsi" w:hAnsiTheme="majorHAnsi"/>
        </w:rPr>
        <w:t xml:space="preserve">Commitment </w:t>
      </w:r>
      <w:r w:rsidR="30A9890C" w:rsidRPr="00301C85">
        <w:rPr>
          <w:rFonts w:asciiTheme="majorHAnsi" w:hAnsiTheme="majorHAnsi"/>
        </w:rPr>
        <w:t xml:space="preserve">needs </w:t>
      </w:r>
      <w:r w:rsidRPr="00301C85">
        <w:rPr>
          <w:rFonts w:asciiTheme="majorHAnsi" w:hAnsiTheme="majorHAnsi"/>
        </w:rPr>
        <w:t xml:space="preserve">to be made to strategies which foster inter-agency working, from signposting/referring </w:t>
      </w:r>
      <w:r w:rsidR="00CF4B44" w:rsidRPr="00301C85">
        <w:rPr>
          <w:rFonts w:asciiTheme="majorHAnsi" w:hAnsiTheme="majorHAnsi"/>
        </w:rPr>
        <w:t xml:space="preserve">where appropriate and sufficient to be effective, </w:t>
      </w:r>
      <w:r w:rsidRPr="00301C85">
        <w:rPr>
          <w:rFonts w:asciiTheme="majorHAnsi" w:hAnsiTheme="majorHAnsi"/>
        </w:rPr>
        <w:t>through to collaborative provision to meet specific need; support to be given to practitioners to support such agility and “boundary spanning”</w:t>
      </w:r>
      <w:r w:rsidR="78090947" w:rsidRPr="00301C85">
        <w:rPr>
          <w:rFonts w:asciiTheme="majorHAnsi" w:hAnsiTheme="majorHAnsi"/>
        </w:rPr>
        <w:t xml:space="preserve">, with such interventions, when needed, adopting a more mentor or coaching style relationship supporting engagement with relevant </w:t>
      </w:r>
      <w:r w:rsidR="004C7BE1" w:rsidRPr="00301C85">
        <w:rPr>
          <w:rFonts w:asciiTheme="majorHAnsi" w:hAnsiTheme="majorHAnsi"/>
        </w:rPr>
        <w:t>services</w:t>
      </w:r>
      <w:r w:rsidR="78090947" w:rsidRPr="00301C85">
        <w:rPr>
          <w:rFonts w:asciiTheme="majorHAnsi" w:hAnsiTheme="majorHAnsi"/>
        </w:rPr>
        <w:t xml:space="preserve"> more directly. </w:t>
      </w:r>
    </w:p>
    <w:p w14:paraId="427F4BBE" w14:textId="77777777" w:rsidR="00CD7CBB" w:rsidRPr="00301C85" w:rsidRDefault="00CD7CBB" w:rsidP="00252AFB">
      <w:pPr>
        <w:pStyle w:val="ListParagraph"/>
        <w:rPr>
          <w:rFonts w:asciiTheme="majorHAnsi" w:hAnsiTheme="majorHAnsi"/>
        </w:rPr>
      </w:pPr>
    </w:p>
    <w:p w14:paraId="3D6E1097" w14:textId="69FE5A60" w:rsidR="00CD7CBB" w:rsidRPr="00301C85" w:rsidRDefault="00CD7CBB" w:rsidP="002B29F6">
      <w:pPr>
        <w:pStyle w:val="ListParagraph"/>
        <w:numPr>
          <w:ilvl w:val="0"/>
          <w:numId w:val="22"/>
        </w:numPr>
        <w:spacing w:line="360" w:lineRule="auto"/>
        <w:ind w:left="360"/>
        <w:rPr>
          <w:rFonts w:asciiTheme="majorHAnsi" w:hAnsiTheme="majorHAnsi"/>
        </w:rPr>
      </w:pPr>
      <w:r w:rsidRPr="00301C85">
        <w:rPr>
          <w:rFonts w:asciiTheme="majorHAnsi" w:hAnsiTheme="majorHAnsi"/>
        </w:rPr>
        <w:lastRenderedPageBreak/>
        <w:t xml:space="preserve">Given the unexpected observations outlined in the body of the report regarding existing data integrity and systems for inputting and reviewing data, </w:t>
      </w:r>
      <w:r w:rsidR="000F4645" w:rsidRPr="00301C85">
        <w:rPr>
          <w:rFonts w:asciiTheme="majorHAnsi" w:hAnsiTheme="majorHAnsi"/>
        </w:rPr>
        <w:t xml:space="preserve">consideration of the best practices in respect of both systems themselves, but also training of practitioners regarding </w:t>
      </w:r>
      <w:r w:rsidR="00420C92" w:rsidRPr="00301C85">
        <w:rPr>
          <w:rFonts w:asciiTheme="majorHAnsi" w:hAnsiTheme="majorHAnsi"/>
        </w:rPr>
        <w:t>rational</w:t>
      </w:r>
      <w:r w:rsidR="004C7BE1" w:rsidRPr="00301C85">
        <w:rPr>
          <w:rFonts w:asciiTheme="majorHAnsi" w:hAnsiTheme="majorHAnsi"/>
        </w:rPr>
        <w:t>e</w:t>
      </w:r>
      <w:r w:rsidR="00420C92" w:rsidRPr="00301C85">
        <w:rPr>
          <w:rFonts w:asciiTheme="majorHAnsi" w:hAnsiTheme="majorHAnsi"/>
        </w:rPr>
        <w:t xml:space="preserve"> and processes</w:t>
      </w:r>
      <w:r w:rsidR="000F4645" w:rsidRPr="00301C85">
        <w:rPr>
          <w:rFonts w:asciiTheme="majorHAnsi" w:hAnsiTheme="majorHAnsi"/>
        </w:rPr>
        <w:t xml:space="preserve"> for accurate inputting of data</w:t>
      </w:r>
      <w:r w:rsidR="00420C92" w:rsidRPr="00301C85">
        <w:rPr>
          <w:rFonts w:asciiTheme="majorHAnsi" w:hAnsiTheme="majorHAnsi"/>
        </w:rPr>
        <w:t>.</w:t>
      </w:r>
      <w:r w:rsidR="000F4645" w:rsidRPr="00301C85">
        <w:rPr>
          <w:rFonts w:asciiTheme="majorHAnsi" w:hAnsiTheme="majorHAnsi"/>
        </w:rPr>
        <w:t xml:space="preserve"> </w:t>
      </w:r>
    </w:p>
    <w:p w14:paraId="626102A8" w14:textId="77777777" w:rsidR="009122F8" w:rsidRPr="00301C85" w:rsidRDefault="009122F8" w:rsidP="00EB0731">
      <w:pPr>
        <w:spacing w:line="360" w:lineRule="auto"/>
        <w:contextualSpacing/>
        <w:rPr>
          <w:rFonts w:asciiTheme="majorHAnsi" w:hAnsiTheme="majorHAnsi"/>
        </w:rPr>
      </w:pPr>
    </w:p>
    <w:p w14:paraId="28F1E765" w14:textId="6C113034" w:rsidR="00EB0731" w:rsidRPr="00301C85" w:rsidRDefault="00EB0731">
      <w:pPr>
        <w:rPr>
          <w:rFonts w:asciiTheme="majorHAnsi" w:hAnsiTheme="majorHAnsi"/>
          <w:b/>
          <w:bCs/>
        </w:rPr>
      </w:pPr>
    </w:p>
    <w:p w14:paraId="1C2CD087" w14:textId="732E7989" w:rsidR="00EE05AA" w:rsidRDefault="00A14F5C" w:rsidP="00EB0731">
      <w:pPr>
        <w:spacing w:line="360" w:lineRule="auto"/>
        <w:contextualSpacing/>
        <w:rPr>
          <w:rFonts w:asciiTheme="majorHAnsi" w:hAnsiTheme="majorHAnsi"/>
          <w:b/>
          <w:bCs/>
        </w:rPr>
      </w:pPr>
      <w:r w:rsidRPr="00301C85">
        <w:rPr>
          <w:rFonts w:asciiTheme="majorHAnsi" w:hAnsiTheme="majorHAnsi"/>
          <w:b/>
          <w:bCs/>
        </w:rPr>
        <w:t>6</w:t>
      </w:r>
      <w:r w:rsidR="000414B2" w:rsidRPr="00301C85">
        <w:rPr>
          <w:rFonts w:asciiTheme="majorHAnsi" w:hAnsiTheme="majorHAnsi"/>
          <w:b/>
          <w:bCs/>
        </w:rPr>
        <w:t xml:space="preserve">.4 </w:t>
      </w:r>
      <w:r w:rsidR="00EE05AA" w:rsidRPr="00301C85">
        <w:rPr>
          <w:rFonts w:asciiTheme="majorHAnsi" w:hAnsiTheme="majorHAnsi"/>
          <w:b/>
          <w:bCs/>
        </w:rPr>
        <w:t xml:space="preserve">Possible </w:t>
      </w:r>
      <w:r w:rsidR="00EB0731" w:rsidRPr="00301C85">
        <w:rPr>
          <w:rFonts w:asciiTheme="majorHAnsi" w:hAnsiTheme="majorHAnsi"/>
          <w:b/>
          <w:bCs/>
        </w:rPr>
        <w:t xml:space="preserve">future </w:t>
      </w:r>
      <w:r w:rsidR="00EE05AA" w:rsidRPr="00301C85">
        <w:rPr>
          <w:rFonts w:asciiTheme="majorHAnsi" w:hAnsiTheme="majorHAnsi"/>
          <w:b/>
          <w:bCs/>
        </w:rPr>
        <w:t>developments</w:t>
      </w:r>
    </w:p>
    <w:p w14:paraId="58F96D16" w14:textId="77777777" w:rsidR="00301C85" w:rsidRPr="00301C85" w:rsidRDefault="00301C85" w:rsidP="00EB0731">
      <w:pPr>
        <w:spacing w:line="360" w:lineRule="auto"/>
        <w:contextualSpacing/>
        <w:rPr>
          <w:rFonts w:asciiTheme="majorHAnsi" w:hAnsiTheme="majorHAnsi"/>
          <w:b/>
          <w:bCs/>
        </w:rPr>
      </w:pPr>
    </w:p>
    <w:p w14:paraId="7E4893B8" w14:textId="051CA859" w:rsidR="00EE05AA" w:rsidRDefault="00EE05AA" w:rsidP="00EB0731">
      <w:pPr>
        <w:spacing w:line="360" w:lineRule="auto"/>
        <w:contextualSpacing/>
        <w:rPr>
          <w:rFonts w:asciiTheme="majorHAnsi" w:hAnsiTheme="majorHAnsi"/>
          <w:bCs/>
        </w:rPr>
      </w:pPr>
      <w:r w:rsidRPr="00301C85">
        <w:rPr>
          <w:rFonts w:asciiTheme="majorHAnsi" w:hAnsiTheme="majorHAnsi"/>
          <w:bCs/>
        </w:rPr>
        <w:t xml:space="preserve">Anecdotal evidence from informal discussions held with some services / organisations since the COVID-19 disruption began suggests that there have been some very effective responses to the pandemic in terms of provision. Organisations’ flexibility and capacity to adapt to rapidly changing conditions seemed to come </w:t>
      </w:r>
      <w:r w:rsidR="00647372" w:rsidRPr="00301C85">
        <w:rPr>
          <w:rFonts w:asciiTheme="majorHAnsi" w:hAnsiTheme="majorHAnsi"/>
          <w:bCs/>
        </w:rPr>
        <w:t xml:space="preserve">as </w:t>
      </w:r>
      <w:r w:rsidRPr="00301C85">
        <w:rPr>
          <w:rFonts w:asciiTheme="majorHAnsi" w:hAnsiTheme="majorHAnsi"/>
          <w:bCs/>
        </w:rPr>
        <w:t>a surprise even to the leaders of and practitioners in some these organisations, and it seems that a lot has been learned in terms of how provision might “look” in a “post-COVID” city. In</w:t>
      </w:r>
      <w:r w:rsidRPr="00EE05AA">
        <w:rPr>
          <w:rFonts w:asciiTheme="majorHAnsi" w:hAnsiTheme="majorHAnsi"/>
          <w:bCs/>
        </w:rPr>
        <w:t xml:space="preserve"> this study, the young men lauded flexible and individualised approaches to support. An interesting direction for a future study would be to examine the impact of the pandemic on service provision, </w:t>
      </w:r>
      <w:r w:rsidR="007A7CED">
        <w:rPr>
          <w:rFonts w:asciiTheme="majorHAnsi" w:hAnsiTheme="majorHAnsi"/>
          <w:bCs/>
        </w:rPr>
        <w:t xml:space="preserve">what could be usefully and effectively retained, </w:t>
      </w:r>
      <w:r w:rsidRPr="00EE05AA">
        <w:rPr>
          <w:rFonts w:asciiTheme="majorHAnsi" w:hAnsiTheme="majorHAnsi"/>
          <w:bCs/>
        </w:rPr>
        <w:t xml:space="preserve">and young men’s beliefs about aspects of the service provision that changed in response to the pandemic, such as the move to online modalities of support. </w:t>
      </w:r>
    </w:p>
    <w:p w14:paraId="4C47392E" w14:textId="3773200C" w:rsidR="007A7CED" w:rsidRDefault="007A7CED" w:rsidP="00EB0731">
      <w:pPr>
        <w:spacing w:line="360" w:lineRule="auto"/>
        <w:contextualSpacing/>
        <w:rPr>
          <w:rFonts w:asciiTheme="majorHAnsi" w:hAnsiTheme="majorHAnsi"/>
          <w:bCs/>
        </w:rPr>
      </w:pPr>
    </w:p>
    <w:p w14:paraId="10C08755" w14:textId="5DDE00D8" w:rsidR="007A7CED" w:rsidRDefault="007A7CED" w:rsidP="088F2921">
      <w:pPr>
        <w:spacing w:line="360" w:lineRule="auto"/>
        <w:contextualSpacing/>
        <w:rPr>
          <w:rFonts w:asciiTheme="majorHAnsi" w:hAnsiTheme="majorHAnsi"/>
        </w:rPr>
      </w:pPr>
      <w:r w:rsidRPr="088F2921">
        <w:rPr>
          <w:rFonts w:asciiTheme="majorHAnsi" w:hAnsiTheme="majorHAnsi"/>
        </w:rPr>
        <w:t xml:space="preserve">In addition, the steering group and funders </w:t>
      </w:r>
      <w:r w:rsidR="754BA34C" w:rsidRPr="088F2921">
        <w:rPr>
          <w:rFonts w:asciiTheme="majorHAnsi" w:hAnsiTheme="majorHAnsi"/>
        </w:rPr>
        <w:t>will</w:t>
      </w:r>
      <w:r w:rsidR="4A3764D7" w:rsidRPr="088F2921">
        <w:rPr>
          <w:rFonts w:asciiTheme="majorHAnsi" w:hAnsiTheme="majorHAnsi"/>
        </w:rPr>
        <w:t xml:space="preserve"> no doubt</w:t>
      </w:r>
      <w:r w:rsidRPr="088F2921">
        <w:rPr>
          <w:rFonts w:asciiTheme="majorHAnsi" w:hAnsiTheme="majorHAnsi"/>
        </w:rPr>
        <w:t xml:space="preserve"> wish to consider whether returning to the deep dive process and adding this as an additional time limited project would help to draw information and learning regarding the young </w:t>
      </w:r>
      <w:proofErr w:type="gramStart"/>
      <w:r w:rsidRPr="088F2921">
        <w:rPr>
          <w:rFonts w:asciiTheme="majorHAnsi" w:hAnsiTheme="majorHAnsi"/>
        </w:rPr>
        <w:t>men</w:t>
      </w:r>
      <w:proofErr w:type="gramEnd"/>
      <w:r w:rsidRPr="088F2921">
        <w:rPr>
          <w:rFonts w:asciiTheme="majorHAnsi" w:hAnsiTheme="majorHAnsi"/>
        </w:rPr>
        <w:t xml:space="preserve"> we have not been able to access for interview, and their experiences and outcomes. This would require approximately 5-7 days for 3 researchers in order to explore in some depth 15-20 case records. </w:t>
      </w:r>
    </w:p>
    <w:p w14:paraId="41455BC5" w14:textId="2330AC52" w:rsidR="007A7CED" w:rsidRDefault="007A7CED" w:rsidP="00EB0731">
      <w:pPr>
        <w:spacing w:line="360" w:lineRule="auto"/>
        <w:contextualSpacing/>
        <w:rPr>
          <w:rFonts w:asciiTheme="majorHAnsi" w:hAnsiTheme="majorHAnsi"/>
          <w:bCs/>
        </w:rPr>
      </w:pPr>
    </w:p>
    <w:p w14:paraId="1D4F8E2C" w14:textId="0EE970CF" w:rsidR="00301C85" w:rsidRDefault="00301C85" w:rsidP="00EB0731">
      <w:pPr>
        <w:spacing w:line="360" w:lineRule="auto"/>
        <w:contextualSpacing/>
        <w:rPr>
          <w:rFonts w:asciiTheme="majorHAnsi" w:hAnsiTheme="majorHAnsi"/>
          <w:bCs/>
        </w:rPr>
      </w:pPr>
    </w:p>
    <w:p w14:paraId="2C99750A" w14:textId="77777777" w:rsidR="00301C85" w:rsidRDefault="00301C85" w:rsidP="00EB0731">
      <w:pPr>
        <w:spacing w:line="360" w:lineRule="auto"/>
        <w:contextualSpacing/>
        <w:rPr>
          <w:rFonts w:asciiTheme="majorHAnsi" w:hAnsiTheme="majorHAnsi"/>
          <w:bCs/>
        </w:rPr>
      </w:pPr>
    </w:p>
    <w:p w14:paraId="56A12B4C" w14:textId="1A0FA7FE" w:rsidR="007A7CED" w:rsidRDefault="00CF4B44" w:rsidP="00EB0731">
      <w:pPr>
        <w:spacing w:line="360" w:lineRule="auto"/>
        <w:contextualSpacing/>
        <w:rPr>
          <w:rFonts w:asciiTheme="majorHAnsi" w:hAnsiTheme="majorHAnsi"/>
          <w:bCs/>
        </w:rPr>
      </w:pPr>
      <w:r>
        <w:rPr>
          <w:rFonts w:asciiTheme="majorHAnsi" w:hAnsiTheme="majorHAnsi"/>
          <w:b/>
        </w:rPr>
        <w:lastRenderedPageBreak/>
        <w:t>Key</w:t>
      </w:r>
      <w:r w:rsidRPr="007A7CED">
        <w:rPr>
          <w:rFonts w:asciiTheme="majorHAnsi" w:hAnsiTheme="majorHAnsi"/>
          <w:b/>
        </w:rPr>
        <w:t xml:space="preserve"> </w:t>
      </w:r>
      <w:r w:rsidR="007A7CED" w:rsidRPr="007A7CED">
        <w:rPr>
          <w:rFonts w:asciiTheme="majorHAnsi" w:hAnsiTheme="majorHAnsi"/>
          <w:b/>
        </w:rPr>
        <w:t xml:space="preserve">suggestions for </w:t>
      </w:r>
      <w:r w:rsidR="00301C85">
        <w:rPr>
          <w:rFonts w:asciiTheme="majorHAnsi" w:hAnsiTheme="majorHAnsi"/>
          <w:b/>
        </w:rPr>
        <w:t xml:space="preserve">any </w:t>
      </w:r>
      <w:r w:rsidR="007A7CED" w:rsidRPr="007A7CED">
        <w:rPr>
          <w:rFonts w:asciiTheme="majorHAnsi" w:hAnsiTheme="majorHAnsi"/>
          <w:b/>
        </w:rPr>
        <w:t xml:space="preserve">subsequent ‘pilot study’ include the following: </w:t>
      </w:r>
    </w:p>
    <w:p w14:paraId="5DB99FEF" w14:textId="00FAAE3F" w:rsidR="007A7CED" w:rsidRPr="00301C85" w:rsidRDefault="007A7CED" w:rsidP="00252AFB">
      <w:pPr>
        <w:pStyle w:val="ListParagraph"/>
        <w:numPr>
          <w:ilvl w:val="0"/>
          <w:numId w:val="27"/>
        </w:numPr>
        <w:spacing w:line="360" w:lineRule="auto"/>
        <w:jc w:val="both"/>
        <w:rPr>
          <w:rFonts w:asciiTheme="majorHAnsi" w:hAnsiTheme="majorHAnsi"/>
          <w:bCs/>
        </w:rPr>
      </w:pPr>
      <w:r w:rsidRPr="00301C85">
        <w:rPr>
          <w:rFonts w:asciiTheme="majorHAnsi" w:hAnsiTheme="majorHAnsi"/>
          <w:bCs/>
        </w:rPr>
        <w:t>Embed evaluation in a rigorous and planned manner as part of the intervention design and delivery process (not a bolt-on afterwards</w:t>
      </w:r>
      <w:r w:rsidR="00CF4B44" w:rsidRPr="00301C85">
        <w:rPr>
          <w:rFonts w:asciiTheme="majorHAnsi" w:hAnsiTheme="majorHAnsi"/>
          <w:bCs/>
        </w:rPr>
        <w:t>, or a missed opportunity</w:t>
      </w:r>
      <w:r w:rsidRPr="00301C85">
        <w:rPr>
          <w:rFonts w:asciiTheme="majorHAnsi" w:hAnsiTheme="majorHAnsi"/>
          <w:bCs/>
        </w:rPr>
        <w:t>)</w:t>
      </w:r>
    </w:p>
    <w:p w14:paraId="7FA0746F" w14:textId="2BFB6A66" w:rsidR="007A7CED" w:rsidRPr="00301C85" w:rsidRDefault="007A7CED" w:rsidP="002B29F6">
      <w:pPr>
        <w:pStyle w:val="ListParagraph"/>
        <w:numPr>
          <w:ilvl w:val="0"/>
          <w:numId w:val="27"/>
        </w:numPr>
        <w:spacing w:line="360" w:lineRule="auto"/>
        <w:jc w:val="both"/>
        <w:rPr>
          <w:rFonts w:asciiTheme="majorHAnsi" w:hAnsiTheme="majorHAnsi"/>
          <w:bCs/>
        </w:rPr>
      </w:pPr>
      <w:r w:rsidRPr="00301C85">
        <w:rPr>
          <w:rFonts w:asciiTheme="majorHAnsi" w:hAnsiTheme="majorHAnsi"/>
          <w:bCs/>
        </w:rPr>
        <w:t>Ensure co-design and evaluat</w:t>
      </w:r>
      <w:r w:rsidR="00CF4B44" w:rsidRPr="00301C85">
        <w:rPr>
          <w:rFonts w:asciiTheme="majorHAnsi" w:hAnsiTheme="majorHAnsi"/>
          <w:bCs/>
        </w:rPr>
        <w:t>ion</w:t>
      </w:r>
      <w:r w:rsidRPr="00301C85">
        <w:rPr>
          <w:rFonts w:asciiTheme="majorHAnsi" w:hAnsiTheme="majorHAnsi"/>
          <w:bCs/>
        </w:rPr>
        <w:t xml:space="preserve"> with young men to ensure centrality of their voices and experiences</w:t>
      </w:r>
      <w:r w:rsidR="00CF4B44" w:rsidRPr="00301C85">
        <w:rPr>
          <w:rFonts w:asciiTheme="majorHAnsi" w:hAnsiTheme="majorHAnsi"/>
          <w:bCs/>
        </w:rPr>
        <w:t xml:space="preserve"> and </w:t>
      </w:r>
      <w:r w:rsidR="00420C92" w:rsidRPr="00301C85">
        <w:rPr>
          <w:rFonts w:asciiTheme="majorHAnsi" w:hAnsiTheme="majorHAnsi"/>
          <w:bCs/>
        </w:rPr>
        <w:t xml:space="preserve">hence </w:t>
      </w:r>
      <w:r w:rsidR="00CF4B44" w:rsidRPr="00301C85">
        <w:rPr>
          <w:rFonts w:asciiTheme="majorHAnsi" w:hAnsiTheme="majorHAnsi"/>
          <w:bCs/>
        </w:rPr>
        <w:t>maximise likely engagement</w:t>
      </w:r>
    </w:p>
    <w:p w14:paraId="04D41F6E" w14:textId="2AD9EEFF" w:rsidR="007A7CED" w:rsidRPr="00301C85" w:rsidRDefault="007A7CED" w:rsidP="088F2921">
      <w:pPr>
        <w:pStyle w:val="ListParagraph"/>
        <w:numPr>
          <w:ilvl w:val="0"/>
          <w:numId w:val="27"/>
        </w:numPr>
        <w:spacing w:line="360" w:lineRule="auto"/>
        <w:jc w:val="both"/>
        <w:rPr>
          <w:rFonts w:asciiTheme="majorHAnsi" w:hAnsiTheme="majorHAnsi"/>
        </w:rPr>
      </w:pPr>
      <w:r w:rsidRPr="00301C85">
        <w:rPr>
          <w:rFonts w:asciiTheme="majorHAnsi" w:hAnsiTheme="majorHAnsi"/>
        </w:rPr>
        <w:t>Build upon the learning from this project with respect to the importance of flexibility of timing,</w:t>
      </w:r>
      <w:r w:rsidR="00CF4B44" w:rsidRPr="00301C85">
        <w:rPr>
          <w:rFonts w:asciiTheme="majorHAnsi" w:hAnsiTheme="majorHAnsi"/>
        </w:rPr>
        <w:t xml:space="preserve"> mode of contact,</w:t>
      </w:r>
      <w:r w:rsidRPr="00301C85">
        <w:rPr>
          <w:rFonts w:asciiTheme="majorHAnsi" w:hAnsiTheme="majorHAnsi"/>
        </w:rPr>
        <w:t xml:space="preserve"> control and choices being embedded in the approach taken and the importance of </w:t>
      </w:r>
      <w:r w:rsidR="00CF4B44" w:rsidRPr="00301C85">
        <w:rPr>
          <w:rFonts w:asciiTheme="majorHAnsi" w:hAnsiTheme="majorHAnsi"/>
        </w:rPr>
        <w:t xml:space="preserve">authentic </w:t>
      </w:r>
      <w:r w:rsidRPr="00301C85">
        <w:rPr>
          <w:rFonts w:asciiTheme="majorHAnsi" w:hAnsiTheme="majorHAnsi"/>
        </w:rPr>
        <w:t xml:space="preserve">relationships </w:t>
      </w:r>
      <w:r w:rsidR="00CF4B44" w:rsidRPr="00301C85">
        <w:rPr>
          <w:rFonts w:asciiTheme="majorHAnsi" w:hAnsiTheme="majorHAnsi"/>
        </w:rPr>
        <w:t>based upon genuine interest</w:t>
      </w:r>
      <w:r w:rsidR="1CBCAAA8" w:rsidRPr="00301C85">
        <w:rPr>
          <w:rFonts w:asciiTheme="majorHAnsi" w:hAnsiTheme="majorHAnsi"/>
        </w:rPr>
        <w:t>, recognition,</w:t>
      </w:r>
      <w:r w:rsidR="00CF4B44" w:rsidRPr="00301C85">
        <w:rPr>
          <w:rFonts w:asciiTheme="majorHAnsi" w:hAnsiTheme="majorHAnsi"/>
        </w:rPr>
        <w:t xml:space="preserve"> and care in order </w:t>
      </w:r>
      <w:r w:rsidRPr="00301C85">
        <w:rPr>
          <w:rFonts w:asciiTheme="majorHAnsi" w:hAnsiTheme="majorHAnsi"/>
        </w:rPr>
        <w:t>to ‘</w:t>
      </w:r>
      <w:r w:rsidR="004C7BE1" w:rsidRPr="00301C85">
        <w:rPr>
          <w:rFonts w:asciiTheme="majorHAnsi" w:hAnsiTheme="majorHAnsi"/>
        </w:rPr>
        <w:t>succeed’</w:t>
      </w:r>
      <w:r w:rsidRPr="00301C85">
        <w:rPr>
          <w:rFonts w:asciiTheme="majorHAnsi" w:hAnsiTheme="majorHAnsi"/>
        </w:rPr>
        <w:t xml:space="preserve">. </w:t>
      </w:r>
    </w:p>
    <w:p w14:paraId="0221503D" w14:textId="2107C6FD" w:rsidR="00CF4B44" w:rsidRPr="00301C85" w:rsidRDefault="00CF4B44" w:rsidP="088F2921">
      <w:pPr>
        <w:pStyle w:val="ListParagraph"/>
        <w:numPr>
          <w:ilvl w:val="0"/>
          <w:numId w:val="27"/>
        </w:numPr>
        <w:spacing w:line="360" w:lineRule="auto"/>
        <w:jc w:val="both"/>
        <w:rPr>
          <w:rFonts w:asciiTheme="majorHAnsi" w:hAnsiTheme="majorHAnsi"/>
        </w:rPr>
      </w:pPr>
      <w:r w:rsidRPr="00301C85">
        <w:rPr>
          <w:rFonts w:asciiTheme="majorHAnsi" w:hAnsiTheme="majorHAnsi"/>
        </w:rPr>
        <w:t xml:space="preserve">Specifically, the motivational interviewing basis of the Roca model referred to in this report holds some significant potential, especially when adapted to incorporate </w:t>
      </w:r>
      <w:r w:rsidR="217FBE88" w:rsidRPr="00301C85">
        <w:rPr>
          <w:rFonts w:asciiTheme="majorHAnsi" w:hAnsiTheme="majorHAnsi"/>
        </w:rPr>
        <w:t xml:space="preserve">the relationship elements referred to above, and a trauma- informed approach to practice. </w:t>
      </w:r>
    </w:p>
    <w:p w14:paraId="7C67D85C" w14:textId="5809B109" w:rsidR="007A7CED" w:rsidRPr="00301C85" w:rsidRDefault="007A7CED" w:rsidP="002B29F6">
      <w:pPr>
        <w:pStyle w:val="ListParagraph"/>
        <w:numPr>
          <w:ilvl w:val="0"/>
          <w:numId w:val="27"/>
        </w:numPr>
        <w:spacing w:line="360" w:lineRule="auto"/>
        <w:jc w:val="both"/>
        <w:rPr>
          <w:rFonts w:asciiTheme="majorHAnsi" w:hAnsiTheme="majorHAnsi"/>
          <w:bCs/>
        </w:rPr>
      </w:pPr>
      <w:r w:rsidRPr="00301C85">
        <w:rPr>
          <w:rFonts w:asciiTheme="majorHAnsi" w:hAnsiTheme="majorHAnsi"/>
          <w:bCs/>
        </w:rPr>
        <w:t xml:space="preserve">Maximise inter-agency collaboration, perhaps building upon learning during COVID. </w:t>
      </w:r>
    </w:p>
    <w:p w14:paraId="06D991F2" w14:textId="22A5F2FC" w:rsidR="0072268B" w:rsidRPr="00301C85" w:rsidRDefault="0072268B" w:rsidP="00301C85">
      <w:pPr>
        <w:pStyle w:val="ListParagraph"/>
        <w:numPr>
          <w:ilvl w:val="0"/>
          <w:numId w:val="27"/>
        </w:numPr>
        <w:spacing w:line="360" w:lineRule="auto"/>
        <w:rPr>
          <w:rFonts w:asciiTheme="majorHAnsi" w:hAnsiTheme="majorHAnsi"/>
          <w:bCs/>
        </w:rPr>
      </w:pPr>
      <w:r w:rsidRPr="00301C85">
        <w:rPr>
          <w:rFonts w:asciiTheme="majorHAnsi" w:hAnsiTheme="majorHAnsi"/>
          <w:bCs/>
        </w:rPr>
        <w:t>System design, use and access</w:t>
      </w:r>
      <w:r w:rsidR="00301C85" w:rsidRPr="00301C85">
        <w:rPr>
          <w:rFonts w:asciiTheme="majorHAnsi" w:hAnsiTheme="majorHAnsi"/>
          <w:bCs/>
        </w:rPr>
        <w:t xml:space="preserve">ibility is a key consideration for future service </w:t>
      </w:r>
      <w:r w:rsidR="00301C85">
        <w:rPr>
          <w:rFonts w:asciiTheme="majorHAnsi" w:hAnsiTheme="majorHAnsi"/>
          <w:bCs/>
        </w:rPr>
        <w:t xml:space="preserve">developments </w:t>
      </w:r>
    </w:p>
    <w:p w14:paraId="49015ADF" w14:textId="728548C3" w:rsidR="001F2F94" w:rsidRPr="00301C85" w:rsidRDefault="00301C85" w:rsidP="002B29F6">
      <w:pPr>
        <w:pStyle w:val="ListParagraph"/>
        <w:numPr>
          <w:ilvl w:val="0"/>
          <w:numId w:val="27"/>
        </w:numPr>
        <w:spacing w:line="360" w:lineRule="auto"/>
        <w:jc w:val="both"/>
        <w:rPr>
          <w:rFonts w:asciiTheme="majorHAnsi" w:hAnsiTheme="majorHAnsi"/>
          <w:bCs/>
        </w:rPr>
      </w:pPr>
      <w:r w:rsidRPr="00301C85">
        <w:rPr>
          <w:rFonts w:asciiTheme="majorHAnsi" w:hAnsiTheme="majorHAnsi"/>
          <w:bCs/>
        </w:rPr>
        <w:t xml:space="preserve">The importance of young men’s experiences and narratives being centre stage of all recording, planning and delivery of services cannot be overstated. </w:t>
      </w:r>
    </w:p>
    <w:p w14:paraId="1039215D" w14:textId="295DB941" w:rsidR="001F2F94" w:rsidRPr="00301C85" w:rsidRDefault="001F2F94" w:rsidP="001F2F94">
      <w:pPr>
        <w:spacing w:line="360" w:lineRule="auto"/>
        <w:jc w:val="both"/>
        <w:rPr>
          <w:rFonts w:asciiTheme="majorHAnsi" w:hAnsiTheme="majorHAnsi"/>
          <w:bCs/>
        </w:rPr>
      </w:pPr>
    </w:p>
    <w:p w14:paraId="7CD9629D" w14:textId="7251A3EF" w:rsidR="00C832CB" w:rsidRPr="00301C85" w:rsidRDefault="001F2F94" w:rsidP="00C832CB">
      <w:pPr>
        <w:spacing w:line="360" w:lineRule="auto"/>
        <w:jc w:val="both"/>
        <w:rPr>
          <w:rFonts w:asciiTheme="majorHAnsi" w:hAnsiTheme="majorHAnsi"/>
          <w:bCs/>
        </w:rPr>
      </w:pPr>
      <w:r w:rsidRPr="00301C85">
        <w:rPr>
          <w:rFonts w:asciiTheme="majorHAnsi" w:hAnsiTheme="majorHAnsi"/>
          <w:bCs/>
        </w:rPr>
        <w:t xml:space="preserve">We would like to end this report with the voices from two </w:t>
      </w:r>
      <w:r w:rsidR="00301C85" w:rsidRPr="00301C85">
        <w:rPr>
          <w:rFonts w:asciiTheme="majorHAnsi" w:hAnsiTheme="majorHAnsi"/>
          <w:bCs/>
        </w:rPr>
        <w:t>young</w:t>
      </w:r>
      <w:r w:rsidRPr="00301C85">
        <w:rPr>
          <w:rFonts w:asciiTheme="majorHAnsi" w:hAnsiTheme="majorHAnsi"/>
          <w:bCs/>
        </w:rPr>
        <w:t xml:space="preserve"> men </w:t>
      </w:r>
      <w:r w:rsidR="00301C85" w:rsidRPr="00301C85">
        <w:rPr>
          <w:rFonts w:asciiTheme="majorHAnsi" w:hAnsiTheme="majorHAnsi"/>
          <w:bCs/>
        </w:rPr>
        <w:t xml:space="preserve">who experienced </w:t>
      </w:r>
      <w:r w:rsidRPr="00301C85">
        <w:rPr>
          <w:rFonts w:asciiTheme="majorHAnsi" w:hAnsiTheme="majorHAnsi"/>
          <w:bCs/>
        </w:rPr>
        <w:t>positive outcomes from interventions</w:t>
      </w:r>
      <w:r w:rsidR="00301C85" w:rsidRPr="00301C85">
        <w:rPr>
          <w:rFonts w:asciiTheme="majorHAnsi" w:hAnsiTheme="majorHAnsi"/>
          <w:bCs/>
        </w:rPr>
        <w:t xml:space="preserve"> they had experienced:</w:t>
      </w:r>
      <w:r w:rsidRPr="00301C85">
        <w:rPr>
          <w:rFonts w:asciiTheme="majorHAnsi" w:hAnsiTheme="majorHAnsi"/>
          <w:bCs/>
        </w:rPr>
        <w:t xml:space="preserve"> </w:t>
      </w:r>
    </w:p>
    <w:p w14:paraId="721F63B8" w14:textId="410AF1C6" w:rsidR="00C832CB" w:rsidRPr="00301C85" w:rsidRDefault="00301C85" w:rsidP="00301C85">
      <w:pPr>
        <w:spacing w:line="276" w:lineRule="auto"/>
        <w:ind w:left="720"/>
        <w:jc w:val="both"/>
        <w:rPr>
          <w:rFonts w:asciiTheme="majorHAnsi" w:hAnsiTheme="majorHAnsi"/>
          <w:bCs/>
        </w:rPr>
      </w:pPr>
      <w:r w:rsidRPr="00301C85">
        <w:rPr>
          <w:rFonts w:asciiTheme="majorHAnsi" w:hAnsiTheme="majorHAnsi" w:cstheme="minorHAnsi"/>
          <w:i/>
          <w:iCs/>
        </w:rPr>
        <w:t>Yeah, if I didn’t have the support from [named professional], my parents and my girlfriend, I wouldn’t be where I am now and I wouldn’t be as turned around and I wouldn’t have had as much faith in, that I can actually do stuff</w:t>
      </w:r>
      <w:r>
        <w:rPr>
          <w:rFonts w:asciiTheme="majorHAnsi" w:hAnsiTheme="majorHAnsi" w:cstheme="minorHAnsi"/>
          <w:i/>
          <w:iCs/>
        </w:rPr>
        <w:t>;</w:t>
      </w:r>
    </w:p>
    <w:p w14:paraId="5AC38303" w14:textId="6D55E0BA" w:rsidR="007A7CED" w:rsidRPr="00301C85" w:rsidRDefault="007A7CED" w:rsidP="00301C85">
      <w:pPr>
        <w:spacing w:line="276" w:lineRule="auto"/>
        <w:contextualSpacing/>
        <w:jc w:val="both"/>
        <w:rPr>
          <w:rFonts w:asciiTheme="majorHAnsi" w:hAnsiTheme="majorHAnsi"/>
          <w:bCs/>
        </w:rPr>
      </w:pPr>
    </w:p>
    <w:p w14:paraId="2D00F7DD" w14:textId="3CF8EB96" w:rsidR="00DC59B8" w:rsidRPr="00EE05AA" w:rsidRDefault="00301C85" w:rsidP="00301C85">
      <w:pPr>
        <w:spacing w:line="276" w:lineRule="auto"/>
        <w:ind w:left="720"/>
        <w:contextualSpacing/>
        <w:rPr>
          <w:rFonts w:asciiTheme="majorHAnsi" w:hAnsiTheme="majorHAnsi" w:cstheme="majorHAnsi"/>
          <w:b/>
          <w:bCs/>
        </w:rPr>
      </w:pPr>
      <w:r w:rsidRPr="00301C85">
        <w:rPr>
          <w:rFonts w:asciiTheme="majorHAnsi" w:hAnsiTheme="majorHAnsi" w:cstheme="minorHAnsi"/>
          <w:i/>
        </w:rPr>
        <w:t>….like there isn't a point in my life that I can't say it  hasn't helped out, because I wouldn't have the job that I've got now and I wouldn't, I definitely wouldn't have the flat, I've got a, yeah, I'm living pretty well at the moment and that, in my opinion comes down to [named individual] because they really settled me down, made me realise there was more to life than just hanging out with my mate and causing shit.</w:t>
      </w:r>
      <w:r w:rsidR="00DC59B8" w:rsidRPr="00EE05AA">
        <w:rPr>
          <w:rFonts w:asciiTheme="majorHAnsi" w:hAnsiTheme="majorHAnsi" w:cstheme="majorHAnsi"/>
          <w:b/>
          <w:bCs/>
        </w:rPr>
        <w:br w:type="page"/>
      </w:r>
    </w:p>
    <w:p w14:paraId="4A1AD83E" w14:textId="4E1EB953" w:rsidR="0080697E" w:rsidRPr="0080697E" w:rsidRDefault="00DC59B8" w:rsidP="0080697E">
      <w:pPr>
        <w:pStyle w:val="ListParagraph"/>
        <w:numPr>
          <w:ilvl w:val="0"/>
          <w:numId w:val="23"/>
        </w:numPr>
        <w:spacing w:line="360" w:lineRule="auto"/>
        <w:rPr>
          <w:rFonts w:asciiTheme="majorHAnsi" w:hAnsiTheme="majorHAnsi" w:cstheme="majorHAnsi"/>
          <w:b/>
          <w:bCs/>
        </w:rPr>
      </w:pPr>
      <w:r w:rsidRPr="00C832CB">
        <w:rPr>
          <w:rFonts w:asciiTheme="majorHAnsi" w:hAnsiTheme="majorHAnsi" w:cstheme="majorHAnsi"/>
          <w:b/>
          <w:bCs/>
        </w:rPr>
        <w:lastRenderedPageBreak/>
        <w:t>References</w:t>
      </w:r>
    </w:p>
    <w:p w14:paraId="3025216B" w14:textId="77777777" w:rsidR="0080697E" w:rsidRPr="0080697E" w:rsidRDefault="0080697E" w:rsidP="0080697E">
      <w:pPr>
        <w:widowControl w:val="0"/>
        <w:autoSpaceDE w:val="0"/>
        <w:autoSpaceDN w:val="0"/>
        <w:adjustRightInd w:val="0"/>
        <w:rPr>
          <w:rFonts w:asciiTheme="majorHAnsi" w:hAnsiTheme="majorHAnsi" w:cstheme="minorHAnsi"/>
          <w:noProof/>
        </w:rPr>
      </w:pPr>
      <w:r w:rsidRPr="0080697E">
        <w:rPr>
          <w:rFonts w:asciiTheme="majorHAnsi" w:hAnsiTheme="majorHAnsi" w:cstheme="minorHAnsi"/>
        </w:rPr>
        <w:fldChar w:fldCharType="begin" w:fldLock="1"/>
      </w:r>
      <w:r w:rsidRPr="0080697E">
        <w:rPr>
          <w:rFonts w:asciiTheme="majorHAnsi" w:hAnsiTheme="majorHAnsi" w:cstheme="minorHAnsi"/>
        </w:rPr>
        <w:instrText xml:space="preserve">ADDIN Mendeley Bibliography CSL_BIBLIOGRAPHY </w:instrText>
      </w:r>
      <w:r w:rsidRPr="0080697E">
        <w:rPr>
          <w:rFonts w:asciiTheme="majorHAnsi" w:hAnsiTheme="majorHAnsi" w:cstheme="minorHAnsi"/>
        </w:rPr>
        <w:fldChar w:fldCharType="separate"/>
      </w:r>
      <w:r w:rsidRPr="0080697E">
        <w:rPr>
          <w:rFonts w:asciiTheme="majorHAnsi" w:hAnsiTheme="majorHAnsi" w:cstheme="minorHAnsi"/>
          <w:noProof/>
        </w:rPr>
        <w:t xml:space="preserve">Amor, C. (2017). </w:t>
      </w:r>
      <w:r w:rsidRPr="0080697E">
        <w:rPr>
          <w:rFonts w:asciiTheme="majorHAnsi" w:hAnsiTheme="majorHAnsi" w:cstheme="minorHAnsi"/>
          <w:i/>
          <w:iCs/>
          <w:noProof/>
        </w:rPr>
        <w:t>The Sexual Exploitation of Boys &amp; Young Men in Brighton &amp; Hove and East Sussex</w:t>
      </w:r>
      <w:r w:rsidRPr="0080697E">
        <w:rPr>
          <w:rFonts w:asciiTheme="majorHAnsi" w:hAnsiTheme="majorHAnsi" w:cstheme="minorHAnsi"/>
          <w:iCs/>
          <w:noProof/>
        </w:rPr>
        <w:t>. YMCA WiSE Project.</w:t>
      </w:r>
      <w:r w:rsidRPr="0080697E">
        <w:rPr>
          <w:rFonts w:asciiTheme="majorHAnsi" w:hAnsiTheme="majorHAnsi" w:cstheme="minorHAnsi"/>
          <w:noProof/>
        </w:rPr>
        <w:t xml:space="preserve"> Hove: YMCA Downslink Group</w:t>
      </w:r>
    </w:p>
    <w:p w14:paraId="1B7FC78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015A491" w14:textId="77777777" w:rsidR="0080697E" w:rsidRPr="0080697E" w:rsidRDefault="0080697E" w:rsidP="0080697E">
      <w:pPr>
        <w:contextualSpacing/>
        <w:rPr>
          <w:rFonts w:asciiTheme="majorHAnsi" w:hAnsiTheme="majorHAnsi" w:cstheme="minorHAnsi"/>
        </w:rPr>
      </w:pPr>
      <w:r w:rsidRPr="0080697E">
        <w:rPr>
          <w:rFonts w:asciiTheme="majorHAnsi" w:hAnsiTheme="majorHAnsi" w:cstheme="minorHAnsi"/>
        </w:rPr>
        <w:t xml:space="preserve">Anderson, E. (2009). </w:t>
      </w:r>
      <w:r w:rsidRPr="0080697E">
        <w:rPr>
          <w:rFonts w:asciiTheme="majorHAnsi" w:hAnsiTheme="majorHAnsi" w:cstheme="minorHAnsi"/>
          <w:i/>
          <w:iCs/>
        </w:rPr>
        <w:t>Inclusive Masculinity: The Changing Nature of Masculinities</w:t>
      </w:r>
      <w:r w:rsidRPr="0080697E">
        <w:rPr>
          <w:rFonts w:asciiTheme="majorHAnsi" w:hAnsiTheme="majorHAnsi" w:cstheme="minorHAnsi"/>
        </w:rPr>
        <w:t>.</w:t>
      </w:r>
    </w:p>
    <w:p w14:paraId="2956F617" w14:textId="77777777" w:rsidR="0080697E" w:rsidRPr="0080697E" w:rsidRDefault="0080697E" w:rsidP="0080697E">
      <w:pPr>
        <w:ind w:firstLine="480"/>
        <w:contextualSpacing/>
        <w:rPr>
          <w:rFonts w:asciiTheme="majorHAnsi" w:hAnsiTheme="majorHAnsi" w:cstheme="minorHAnsi"/>
          <w:noProof/>
        </w:rPr>
      </w:pPr>
      <w:r w:rsidRPr="0080697E">
        <w:rPr>
          <w:rFonts w:asciiTheme="majorHAnsi" w:hAnsiTheme="majorHAnsi" w:cstheme="minorHAnsi"/>
        </w:rPr>
        <w:t>Abingdon: Routledge</w:t>
      </w:r>
    </w:p>
    <w:p w14:paraId="082B98A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B8C701A" w14:textId="6FF37072" w:rsid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r w:rsidRPr="0080697E">
        <w:rPr>
          <w:rFonts w:asciiTheme="majorHAnsi" w:hAnsiTheme="majorHAnsi" w:cstheme="minorHAnsi"/>
          <w:shd w:val="clear" w:color="auto" w:fill="FFFFFF"/>
        </w:rPr>
        <w:t>Anderson, P. and Baumberg, B., (2006). Alcohol in Europe - Public Health Perspective: Report Summary. </w:t>
      </w:r>
      <w:r w:rsidRPr="0080697E">
        <w:rPr>
          <w:rFonts w:asciiTheme="majorHAnsi" w:hAnsiTheme="majorHAnsi" w:cstheme="minorHAnsi"/>
          <w:i/>
          <w:iCs/>
          <w:shd w:val="clear" w:color="auto" w:fill="FFFFFF"/>
        </w:rPr>
        <w:t>Drugs: Education, Prevention and Policy</w:t>
      </w:r>
      <w:r w:rsidRPr="0080697E">
        <w:rPr>
          <w:rFonts w:asciiTheme="majorHAnsi" w:hAnsiTheme="majorHAnsi" w:cstheme="minorHAnsi"/>
          <w:i/>
          <w:shd w:val="clear" w:color="auto" w:fill="FFFFFF"/>
        </w:rPr>
        <w:t>,</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13</w:t>
      </w:r>
      <w:r w:rsidRPr="0080697E">
        <w:rPr>
          <w:rFonts w:asciiTheme="majorHAnsi" w:hAnsiTheme="majorHAnsi" w:cstheme="minorHAnsi"/>
          <w:shd w:val="clear" w:color="auto" w:fill="FFFFFF"/>
        </w:rPr>
        <w:t>(6), pp.483-488</w:t>
      </w:r>
    </w:p>
    <w:p w14:paraId="692DCB89" w14:textId="77777777" w:rsid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p>
    <w:p w14:paraId="3D98181F" w14:textId="2E0095AD" w:rsidR="0080697E" w:rsidRP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r>
        <w:rPr>
          <w:rFonts w:asciiTheme="majorHAnsi" w:hAnsiTheme="majorHAnsi" w:cstheme="minorHAnsi"/>
          <w:shd w:val="clear" w:color="auto" w:fill="FFFFFF"/>
        </w:rPr>
        <w:t xml:space="preserve">Anderson, M and Parkinson (2018) 'Balancing justice and Welfare Needs in Family Group Conferences with Harmful Sexual Behaviour', </w:t>
      </w:r>
      <w:r w:rsidRPr="0080697E">
        <w:rPr>
          <w:rFonts w:asciiTheme="majorHAnsi" w:hAnsiTheme="majorHAnsi" w:cstheme="minorHAnsi"/>
          <w:i/>
          <w:iCs/>
          <w:shd w:val="clear" w:color="auto" w:fill="FFFFFF"/>
        </w:rPr>
        <w:t>Journal of Child Sexual Abuse</w:t>
      </w:r>
      <w:r>
        <w:rPr>
          <w:rFonts w:asciiTheme="majorHAnsi" w:hAnsiTheme="majorHAnsi" w:cstheme="minorHAnsi"/>
          <w:shd w:val="clear" w:color="auto" w:fill="FFFFFF"/>
        </w:rPr>
        <w:t>, 27(5) pp.490-509</w:t>
      </w:r>
    </w:p>
    <w:p w14:paraId="25B54DB8" w14:textId="77777777" w:rsidR="0080697E" w:rsidRPr="0080697E" w:rsidRDefault="0080697E" w:rsidP="0080697E">
      <w:pPr>
        <w:widowControl w:val="0"/>
        <w:autoSpaceDE w:val="0"/>
        <w:autoSpaceDN w:val="0"/>
        <w:adjustRightInd w:val="0"/>
        <w:ind w:left="284" w:hanging="284"/>
        <w:rPr>
          <w:rFonts w:asciiTheme="majorHAnsi" w:hAnsiTheme="majorHAnsi" w:cstheme="minorHAnsi"/>
          <w:b/>
          <w:noProof/>
        </w:rPr>
      </w:pPr>
    </w:p>
    <w:p w14:paraId="37734F2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Apland, K. </w:t>
      </w:r>
      <w:r w:rsidRPr="0080697E">
        <w:rPr>
          <w:rFonts w:asciiTheme="majorHAnsi" w:hAnsiTheme="majorHAnsi" w:cstheme="minorHAnsi"/>
          <w:i/>
          <w:iCs/>
          <w:noProof/>
        </w:rPr>
        <w:t>et al</w:t>
      </w:r>
      <w:r w:rsidRPr="0080697E">
        <w:rPr>
          <w:rFonts w:asciiTheme="majorHAnsi" w:hAnsiTheme="majorHAnsi" w:cstheme="minorHAnsi"/>
          <w:noProof/>
        </w:rPr>
        <w:t xml:space="preserve">. (2017). </w:t>
      </w:r>
      <w:r w:rsidRPr="0080697E">
        <w:rPr>
          <w:rFonts w:asciiTheme="majorHAnsi" w:hAnsiTheme="majorHAnsi" w:cstheme="minorHAnsi"/>
          <w:bCs/>
          <w:i/>
        </w:rPr>
        <w:t>Children’s Voices: A Review of Evidence on the Subjective Wellbeing of Children Excluded From School and in Alternative Provision in England</w:t>
      </w:r>
      <w:r w:rsidRPr="0080697E">
        <w:rPr>
          <w:rFonts w:asciiTheme="majorHAnsi" w:hAnsiTheme="majorHAnsi" w:cstheme="minorHAnsi"/>
          <w:bCs/>
        </w:rPr>
        <w:t>. Retrieved from https://dera.ioe.ac.uk//30657/</w:t>
      </w:r>
    </w:p>
    <w:p w14:paraId="5DAF832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148153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Ashley, S. (2017)</w:t>
      </w:r>
      <w:r w:rsidRPr="0080697E">
        <w:rPr>
          <w:rFonts w:asciiTheme="majorHAnsi" w:hAnsiTheme="majorHAnsi" w:cstheme="minorHAnsi"/>
          <w:iCs/>
          <w:noProof/>
        </w:rPr>
        <w:t xml:space="preserve">. </w:t>
      </w:r>
      <w:r w:rsidRPr="0080697E">
        <w:rPr>
          <w:rFonts w:asciiTheme="majorHAnsi" w:hAnsiTheme="majorHAnsi" w:cstheme="minorHAnsi"/>
          <w:i/>
          <w:iCs/>
          <w:noProof/>
        </w:rPr>
        <w:t>Serious Case Review Overview Report: Jack.</w:t>
      </w:r>
      <w:r w:rsidRPr="0080697E">
        <w:rPr>
          <w:rFonts w:asciiTheme="majorHAnsi" w:hAnsiTheme="majorHAnsi" w:cstheme="minorHAnsi"/>
          <w:i/>
          <w:noProof/>
        </w:rPr>
        <w:t xml:space="preserve"> Bradford Safeguarding Children Board</w:t>
      </w:r>
      <w:r w:rsidRPr="0080697E">
        <w:rPr>
          <w:rFonts w:asciiTheme="majorHAnsi" w:hAnsiTheme="majorHAnsi" w:cstheme="minorHAnsi"/>
          <w:noProof/>
        </w:rPr>
        <w:t>. Retrieved from https://www.saferbradford.co.uk/media/4a3fzvdt/2017-bradford-jack-overview.pdf</w:t>
      </w:r>
    </w:p>
    <w:p w14:paraId="3561A2F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DB6817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shd w:val="clear" w:color="auto" w:fill="FFFFFF"/>
        </w:rPr>
        <w:t>Awan, I., (2017). Cyber-Extremism: Isis and the Power of Social Media. </w:t>
      </w:r>
      <w:r w:rsidRPr="0080697E">
        <w:rPr>
          <w:rFonts w:asciiTheme="majorHAnsi" w:hAnsiTheme="majorHAnsi" w:cstheme="minorHAnsi"/>
          <w:i/>
          <w:iCs/>
          <w:shd w:val="clear" w:color="auto" w:fill="FFFFFF"/>
        </w:rPr>
        <w:t>Society</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54</w:t>
      </w:r>
      <w:r w:rsidRPr="0080697E">
        <w:rPr>
          <w:rFonts w:asciiTheme="majorHAnsi" w:hAnsiTheme="majorHAnsi" w:cstheme="minorHAnsi"/>
          <w:shd w:val="clear" w:color="auto" w:fill="FFFFFF"/>
        </w:rPr>
        <w:t>(2), pp.138-149</w:t>
      </w:r>
    </w:p>
    <w:p w14:paraId="5D92F12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93B37EB" w14:textId="77777777" w:rsidR="0080697E" w:rsidRPr="0080697E" w:rsidRDefault="0080697E" w:rsidP="001C23A4">
      <w:pPr>
        <w:widowControl w:val="0"/>
        <w:tabs>
          <w:tab w:val="left" w:pos="1418"/>
        </w:tabs>
        <w:autoSpaceDE w:val="0"/>
        <w:autoSpaceDN w:val="0"/>
        <w:adjustRightInd w:val="0"/>
        <w:ind w:left="284" w:hanging="284"/>
        <w:rPr>
          <w:rFonts w:asciiTheme="majorHAnsi" w:hAnsiTheme="majorHAnsi" w:cstheme="minorHAnsi"/>
          <w:iCs/>
          <w:noProof/>
        </w:rPr>
      </w:pPr>
      <w:r w:rsidRPr="0080697E">
        <w:rPr>
          <w:rFonts w:asciiTheme="majorHAnsi" w:hAnsiTheme="majorHAnsi" w:cstheme="minorHAnsi"/>
          <w:noProof/>
        </w:rPr>
        <w:t xml:space="preserve">Baldwin, M. and Zeira, Y. (2017). </w:t>
      </w:r>
      <w:r w:rsidRPr="0080697E">
        <w:rPr>
          <w:rFonts w:asciiTheme="majorHAnsi" w:hAnsiTheme="majorHAnsi" w:cstheme="minorHAnsi"/>
          <w:i/>
        </w:rPr>
        <w:t>From Evidence-Based Practices to a Comprehensive Intervention Model for High-Risk Young Men: The Story of Roca</w:t>
      </w:r>
      <w:r w:rsidRPr="0080697E">
        <w:rPr>
          <w:rFonts w:asciiTheme="majorHAnsi" w:hAnsiTheme="majorHAnsi" w:cstheme="minorHAnsi"/>
          <w:noProof/>
        </w:rPr>
        <w:t>.</w:t>
      </w:r>
      <w:r w:rsidRPr="0080697E">
        <w:rPr>
          <w:rFonts w:asciiTheme="majorHAnsi" w:hAnsiTheme="majorHAnsi" w:cstheme="minorHAnsi"/>
          <w:iCs/>
          <w:noProof/>
        </w:rPr>
        <w:t xml:space="preserve"> </w:t>
      </w:r>
      <w:r w:rsidRPr="0080697E">
        <w:rPr>
          <w:rFonts w:asciiTheme="majorHAnsi" w:hAnsiTheme="majorHAnsi" w:cstheme="minorHAnsi"/>
        </w:rPr>
        <w:t>Retrieved from https://www.ojp.gov/pdffiles1/nij/250143.pdf</w:t>
      </w:r>
    </w:p>
    <w:p w14:paraId="1FDD13C8"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p>
    <w:p w14:paraId="7F4C9839"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r w:rsidRPr="0080697E">
        <w:rPr>
          <w:rFonts w:asciiTheme="majorHAnsi" w:hAnsiTheme="majorHAnsi" w:cstheme="minorHAnsi"/>
          <w:shd w:val="clear" w:color="auto" w:fill="FFFFFF"/>
        </w:rPr>
        <w:t>Barter, C., (2009). In the Name of Love: Partner Abuse and Violence in Teenage Relationships. </w:t>
      </w:r>
      <w:r w:rsidRPr="0080697E">
        <w:rPr>
          <w:rFonts w:asciiTheme="majorHAnsi" w:hAnsiTheme="majorHAnsi" w:cstheme="minorHAnsi"/>
          <w:i/>
          <w:iCs/>
          <w:shd w:val="clear" w:color="auto" w:fill="FFFFFF"/>
        </w:rPr>
        <w:t>British Journal of Social Work</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39</w:t>
      </w:r>
      <w:r w:rsidRPr="0080697E">
        <w:rPr>
          <w:rFonts w:asciiTheme="majorHAnsi" w:hAnsiTheme="majorHAnsi" w:cstheme="minorHAnsi"/>
          <w:shd w:val="clear" w:color="auto" w:fill="FFFFFF"/>
        </w:rPr>
        <w:t>(2), pp. 211-233</w:t>
      </w:r>
    </w:p>
    <w:p w14:paraId="3878C83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CA64D4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Betts, L. R., Spenser, K. A. and Gardner, S. E. (2017). Adolescents’ Involvement in Cyber Bullying and Perceptions of School: The Importance of Perceived Peer Acceptance for Female Adolescents.</w:t>
      </w:r>
      <w:r w:rsidRPr="0080697E">
        <w:rPr>
          <w:rFonts w:asciiTheme="majorHAnsi" w:hAnsiTheme="majorHAnsi" w:cstheme="minorHAnsi"/>
          <w:iCs/>
          <w:noProof/>
        </w:rPr>
        <w:t xml:space="preserve"> </w:t>
      </w:r>
      <w:r w:rsidRPr="0080697E">
        <w:rPr>
          <w:rFonts w:asciiTheme="majorHAnsi" w:hAnsiTheme="majorHAnsi" w:cstheme="minorHAnsi"/>
          <w:i/>
          <w:iCs/>
          <w:noProof/>
        </w:rPr>
        <w:t>Sex Roles</w:t>
      </w:r>
      <w:r w:rsidRPr="0080697E">
        <w:rPr>
          <w:rFonts w:asciiTheme="majorHAnsi" w:hAnsiTheme="majorHAnsi" w:cstheme="minorHAnsi"/>
          <w:iCs/>
          <w:noProof/>
        </w:rPr>
        <w:t xml:space="preserve">, </w:t>
      </w:r>
      <w:r w:rsidRPr="0080697E">
        <w:rPr>
          <w:rFonts w:asciiTheme="majorHAnsi" w:hAnsiTheme="majorHAnsi" w:cstheme="minorHAnsi"/>
          <w:noProof/>
        </w:rPr>
        <w:t>77(7–8), pp. 471–481. doi: 10.1007/s11199-017-0742-2</w:t>
      </w:r>
    </w:p>
    <w:p w14:paraId="62EFB8C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2191245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Bifulco, A. </w:t>
      </w:r>
      <w:r w:rsidRPr="0080697E">
        <w:rPr>
          <w:rFonts w:asciiTheme="majorHAnsi" w:hAnsiTheme="majorHAnsi" w:cstheme="minorHAnsi"/>
          <w:i/>
          <w:iCs/>
          <w:noProof/>
        </w:rPr>
        <w:t>et al</w:t>
      </w:r>
      <w:r w:rsidRPr="0080697E">
        <w:rPr>
          <w:rFonts w:asciiTheme="majorHAnsi" w:hAnsiTheme="majorHAnsi" w:cstheme="minorHAnsi"/>
          <w:noProof/>
        </w:rPr>
        <w:t xml:space="preserve">. (2009). Problem Partners and Parenting: Exploring Linkages with Maternal Insecure Attachment Style and Adolescent Offspring Internalizing Disorder. </w:t>
      </w:r>
      <w:r w:rsidRPr="0080697E">
        <w:rPr>
          <w:rFonts w:asciiTheme="majorHAnsi" w:hAnsiTheme="majorHAnsi" w:cstheme="minorHAnsi"/>
          <w:i/>
          <w:noProof/>
        </w:rPr>
        <w:t>Attachment and Human Development</w:t>
      </w:r>
      <w:r w:rsidRPr="0080697E">
        <w:rPr>
          <w:rFonts w:asciiTheme="majorHAnsi" w:hAnsiTheme="majorHAnsi" w:cstheme="minorHAnsi"/>
          <w:noProof/>
        </w:rPr>
        <w:t>, 11(1), pp. 69–85. doi: 10.1080/14616730802500826</w:t>
      </w:r>
    </w:p>
    <w:p w14:paraId="582B898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947BFC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Bird, J. D. P. </w:t>
      </w:r>
      <w:r w:rsidRPr="0080697E">
        <w:rPr>
          <w:rFonts w:asciiTheme="majorHAnsi" w:hAnsiTheme="majorHAnsi" w:cstheme="minorHAnsi"/>
          <w:i/>
          <w:iCs/>
          <w:noProof/>
        </w:rPr>
        <w:t>et al</w:t>
      </w:r>
      <w:r w:rsidRPr="0080697E">
        <w:rPr>
          <w:rFonts w:asciiTheme="majorHAnsi" w:hAnsiTheme="majorHAnsi" w:cstheme="minorHAnsi"/>
          <w:noProof/>
        </w:rPr>
        <w:t xml:space="preserve">. (2017). 'I Had to Go to the Streets to Get Love': Pathways From Parental </w:t>
      </w:r>
      <w:r w:rsidRPr="0080697E">
        <w:rPr>
          <w:rFonts w:asciiTheme="majorHAnsi" w:hAnsiTheme="majorHAnsi" w:cstheme="minorHAnsi"/>
          <w:noProof/>
        </w:rPr>
        <w:lastRenderedPageBreak/>
        <w:t xml:space="preserve">Rejection to HIV Risk Among Young Gay and Bisexual Men. </w:t>
      </w:r>
      <w:r w:rsidRPr="0080697E">
        <w:rPr>
          <w:rFonts w:asciiTheme="majorHAnsi" w:hAnsiTheme="majorHAnsi" w:cstheme="minorHAnsi"/>
          <w:i/>
          <w:iCs/>
          <w:noProof/>
        </w:rPr>
        <w:t>Journal of Homosexuality</w:t>
      </w:r>
      <w:r w:rsidRPr="0080697E">
        <w:rPr>
          <w:rFonts w:asciiTheme="majorHAnsi" w:hAnsiTheme="majorHAnsi" w:cstheme="minorHAnsi"/>
          <w:iCs/>
          <w:noProof/>
        </w:rPr>
        <w:t xml:space="preserve">, </w:t>
      </w:r>
      <w:r w:rsidRPr="0080697E">
        <w:rPr>
          <w:rFonts w:asciiTheme="majorHAnsi" w:hAnsiTheme="majorHAnsi" w:cstheme="minorHAnsi"/>
          <w:noProof/>
        </w:rPr>
        <w:t>64(3), pp. 321–342. doi: 10.1080/00918369.2016.1179039</w:t>
      </w:r>
    </w:p>
    <w:p w14:paraId="709631C7"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4D00875E"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shd w:val="clear" w:color="auto" w:fill="FFFFFF"/>
        </w:rPr>
        <w:t>Bonta, J. and Andrews, D.A., (2007). Risk-Need-Responsivity Model for Offender Assessment and Rehabilitation. </w:t>
      </w:r>
      <w:r w:rsidRPr="0080697E">
        <w:rPr>
          <w:rFonts w:asciiTheme="majorHAnsi" w:hAnsiTheme="majorHAnsi" w:cstheme="minorHAnsi"/>
          <w:i/>
          <w:iCs/>
          <w:shd w:val="clear" w:color="auto" w:fill="FFFFFF"/>
        </w:rPr>
        <w:t>Rehabilitation</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6</w:t>
      </w:r>
      <w:r w:rsidRPr="0080697E">
        <w:rPr>
          <w:rFonts w:asciiTheme="majorHAnsi" w:hAnsiTheme="majorHAnsi" w:cstheme="minorHAnsi"/>
          <w:shd w:val="clear" w:color="auto" w:fill="FFFFFF"/>
        </w:rPr>
        <w:t>(1), pp.1-22</w:t>
      </w:r>
    </w:p>
    <w:p w14:paraId="28560687"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074539AB" w14:textId="77777777" w:rsidR="0080697E" w:rsidRPr="0080697E" w:rsidRDefault="0080697E" w:rsidP="0080697E">
      <w:pPr>
        <w:pStyle w:val="NormalWeb"/>
        <w:ind w:left="482" w:hanging="482"/>
        <w:contextualSpacing/>
        <w:rPr>
          <w:rFonts w:asciiTheme="majorHAnsi" w:hAnsiTheme="majorHAnsi" w:cstheme="minorHAnsi"/>
        </w:rPr>
      </w:pPr>
      <w:r w:rsidRPr="0080697E">
        <w:rPr>
          <w:rStyle w:val="Hyperlink"/>
          <w:rFonts w:asciiTheme="majorHAnsi" w:hAnsiTheme="majorHAnsi" w:cstheme="minorHAnsi"/>
        </w:rPr>
        <w:t xml:space="preserve">Bradlow, J., Bartram, F., Guasp, A., &amp; Jadva, V. (2017). </w:t>
      </w:r>
      <w:r w:rsidRPr="0080697E">
        <w:rPr>
          <w:rStyle w:val="Hyperlink"/>
          <w:rFonts w:asciiTheme="majorHAnsi" w:hAnsiTheme="majorHAnsi" w:cstheme="minorHAnsi"/>
          <w:i/>
        </w:rPr>
        <w:t>The School Report</w:t>
      </w:r>
      <w:r w:rsidRPr="0080697E">
        <w:rPr>
          <w:rStyle w:val="Hyperlink"/>
          <w:rFonts w:asciiTheme="majorHAnsi" w:hAnsiTheme="majorHAnsi" w:cstheme="minorHAnsi"/>
        </w:rPr>
        <w:t>. Retrieved from http://www.stonewall.org.uk/school-report-2017</w:t>
      </w:r>
    </w:p>
    <w:p w14:paraId="05C219A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26009C6" w14:textId="77777777" w:rsidR="0080697E" w:rsidRPr="0080697E" w:rsidRDefault="0080697E" w:rsidP="0080697E">
      <w:pPr>
        <w:pStyle w:val="NormalWeb"/>
        <w:ind w:left="482" w:hanging="482"/>
        <w:contextualSpacing/>
        <w:rPr>
          <w:rFonts w:asciiTheme="majorHAnsi" w:hAnsiTheme="majorHAnsi" w:cstheme="minorHAnsi"/>
        </w:rPr>
      </w:pPr>
      <w:r w:rsidRPr="0080697E">
        <w:rPr>
          <w:rFonts w:asciiTheme="majorHAnsi" w:hAnsiTheme="majorHAnsi" w:cstheme="minorHAnsi"/>
        </w:rPr>
        <w:t xml:space="preserve">Bridges, T. (2014). A Very “Gay” Straight?: Hybrid Masculinities, Sexual Aesthetics, and the Changing Relationship Between Masculinity and Homophobia. </w:t>
      </w:r>
      <w:r w:rsidRPr="0080697E">
        <w:rPr>
          <w:rFonts w:asciiTheme="majorHAnsi" w:hAnsiTheme="majorHAnsi" w:cstheme="minorHAnsi"/>
          <w:i/>
          <w:iCs/>
        </w:rPr>
        <w:t>Gender &amp; Society</w:t>
      </w:r>
      <w:r w:rsidRPr="0080697E">
        <w:rPr>
          <w:rFonts w:asciiTheme="majorHAnsi" w:hAnsiTheme="majorHAnsi" w:cstheme="minorHAnsi"/>
        </w:rPr>
        <w:t xml:space="preserve">, </w:t>
      </w:r>
      <w:r w:rsidRPr="0080697E">
        <w:rPr>
          <w:rFonts w:asciiTheme="majorHAnsi" w:hAnsiTheme="majorHAnsi" w:cstheme="minorHAnsi"/>
          <w:iCs/>
        </w:rPr>
        <w:t>28</w:t>
      </w:r>
      <w:r w:rsidRPr="0080697E">
        <w:rPr>
          <w:rFonts w:asciiTheme="majorHAnsi" w:hAnsiTheme="majorHAnsi" w:cstheme="minorHAnsi"/>
        </w:rPr>
        <w:t>, pp. 58–82. doi:10.1177/0891243213503901</w:t>
      </w:r>
    </w:p>
    <w:p w14:paraId="3963911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BC15CD2" w14:textId="77777777" w:rsidR="0080697E" w:rsidRP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r w:rsidRPr="0080697E">
        <w:rPr>
          <w:rFonts w:asciiTheme="majorHAnsi" w:hAnsiTheme="majorHAnsi" w:cstheme="minorHAnsi"/>
          <w:shd w:val="clear" w:color="auto" w:fill="FFFFFF"/>
        </w:rPr>
        <w:t>Bronfenbrenner, U. (1979). </w:t>
      </w:r>
      <w:r w:rsidRPr="0080697E">
        <w:rPr>
          <w:rFonts w:asciiTheme="majorHAnsi" w:hAnsiTheme="majorHAnsi" w:cstheme="minorHAnsi"/>
          <w:i/>
          <w:iCs/>
          <w:shd w:val="clear" w:color="auto" w:fill="FFFFFF"/>
        </w:rPr>
        <w:t>The Ecology of Human Development: Experiments by Nature and Design</w:t>
      </w:r>
      <w:r w:rsidRPr="0080697E">
        <w:rPr>
          <w:rFonts w:asciiTheme="majorHAnsi" w:hAnsiTheme="majorHAnsi" w:cstheme="minorHAnsi"/>
          <w:shd w:val="clear" w:color="auto" w:fill="FFFFFF"/>
        </w:rPr>
        <w:t>. Cambridge, MA: Harvard University Press</w:t>
      </w:r>
    </w:p>
    <w:p w14:paraId="0412C9B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FD2559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Burgon, H. L. (2013). Horses, Mindfulness and the Natural Environment: Observations from a Qualitative Study with At-Risk Young People Participating in Therapeutic Horsemanship. </w:t>
      </w:r>
      <w:r w:rsidRPr="0080697E">
        <w:rPr>
          <w:rFonts w:asciiTheme="majorHAnsi" w:hAnsiTheme="majorHAnsi" w:cstheme="minorHAnsi"/>
          <w:iCs/>
          <w:noProof/>
        </w:rPr>
        <w:t>I</w:t>
      </w:r>
      <w:r w:rsidRPr="0080697E">
        <w:rPr>
          <w:rFonts w:asciiTheme="majorHAnsi" w:hAnsiTheme="majorHAnsi" w:cstheme="minorHAnsi"/>
          <w:i/>
          <w:iCs/>
          <w:noProof/>
        </w:rPr>
        <w:t>nternational Journal of Psychosocial Rehabilitation</w:t>
      </w:r>
      <w:r w:rsidRPr="0080697E">
        <w:rPr>
          <w:rFonts w:asciiTheme="majorHAnsi" w:hAnsiTheme="majorHAnsi" w:cstheme="minorHAnsi"/>
          <w:noProof/>
        </w:rPr>
        <w:t>, 17, pp. 51-67</w:t>
      </w:r>
    </w:p>
    <w:p w14:paraId="232B4ED7"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4F7C49AC" w14:textId="77777777" w:rsidR="0080697E" w:rsidRP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r w:rsidRPr="0080697E">
        <w:rPr>
          <w:rFonts w:asciiTheme="majorHAnsi" w:hAnsiTheme="majorHAnsi" w:cstheme="minorHAnsi"/>
          <w:noProof/>
        </w:rPr>
        <w:t xml:space="preserve">Bywaters, P. </w:t>
      </w:r>
      <w:r w:rsidRPr="0080697E">
        <w:rPr>
          <w:rFonts w:asciiTheme="majorHAnsi" w:hAnsiTheme="majorHAnsi" w:cstheme="minorHAnsi"/>
          <w:i/>
          <w:iCs/>
          <w:noProof/>
        </w:rPr>
        <w:t>et al</w:t>
      </w:r>
      <w:r w:rsidRPr="0080697E">
        <w:rPr>
          <w:rFonts w:asciiTheme="majorHAnsi" w:hAnsiTheme="majorHAnsi" w:cstheme="minorHAnsi"/>
          <w:noProof/>
        </w:rPr>
        <w:t xml:space="preserve">. (2016). </w:t>
      </w:r>
      <w:r w:rsidRPr="0080697E">
        <w:rPr>
          <w:rFonts w:asciiTheme="majorHAnsi" w:hAnsiTheme="majorHAnsi" w:cstheme="minorHAnsi"/>
          <w:i/>
          <w:noProof/>
        </w:rPr>
        <w:t>The Relationship Between Poverty, Child Abuse and Neglect: An Evidence Review</w:t>
      </w:r>
      <w:r w:rsidRPr="0080697E">
        <w:rPr>
          <w:rFonts w:asciiTheme="majorHAnsi" w:hAnsiTheme="majorHAnsi" w:cstheme="minorHAnsi"/>
          <w:noProof/>
        </w:rPr>
        <w:t>.</w:t>
      </w:r>
      <w:r w:rsidRPr="0080697E">
        <w:rPr>
          <w:rFonts w:asciiTheme="majorHAnsi" w:hAnsiTheme="majorHAnsi" w:cstheme="minorHAnsi"/>
          <w:shd w:val="clear" w:color="auto" w:fill="FFFFFF"/>
        </w:rPr>
        <w:t xml:space="preserve"> </w:t>
      </w:r>
      <w:r w:rsidRPr="0080697E">
        <w:rPr>
          <w:rFonts w:asciiTheme="majorHAnsi" w:hAnsiTheme="majorHAnsi" w:cstheme="minorHAnsi"/>
          <w:iCs/>
          <w:shd w:val="clear" w:color="auto" w:fill="FFFFFF"/>
        </w:rPr>
        <w:t>York: Joseph Rowntree Foundation</w:t>
      </w:r>
    </w:p>
    <w:p w14:paraId="6E2334D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7AEB80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Carmi, E., and Gianfresco, A. (2017). </w:t>
      </w:r>
      <w:r w:rsidRPr="0080697E">
        <w:rPr>
          <w:rFonts w:asciiTheme="majorHAnsi" w:hAnsiTheme="majorHAnsi" w:cstheme="minorHAnsi"/>
          <w:i/>
          <w:noProof/>
        </w:rPr>
        <w:t>Serious Case Review - Siblings W and X. Brighton and Hove Local Safeguarding Children Board</w:t>
      </w:r>
      <w:r w:rsidRPr="0080697E">
        <w:rPr>
          <w:rFonts w:asciiTheme="majorHAnsi" w:hAnsiTheme="majorHAnsi" w:cstheme="minorHAnsi"/>
          <w:noProof/>
        </w:rPr>
        <w:t>. Retrieved from</w:t>
      </w:r>
      <w:r w:rsidRPr="0080697E">
        <w:rPr>
          <w:rFonts w:asciiTheme="majorHAnsi" w:hAnsiTheme="majorHAnsi" w:cstheme="minorHAnsi"/>
        </w:rPr>
        <w:t xml:space="preserve"> </w:t>
      </w:r>
      <w:r w:rsidRPr="0080697E">
        <w:rPr>
          <w:rFonts w:asciiTheme="majorHAnsi" w:hAnsiTheme="majorHAnsi" w:cstheme="minorHAnsi"/>
          <w:noProof/>
        </w:rPr>
        <w:t>http://www.brightonandhovelscb.org.uk/wp-content/uploads/Siblings-W-and-X-SCR-July-2017.pdf</w:t>
      </w:r>
    </w:p>
    <w:p w14:paraId="64D7C17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44268811" w14:textId="77777777" w:rsidR="0080697E" w:rsidRPr="0080697E" w:rsidRDefault="0080697E" w:rsidP="0080697E">
      <w:pPr>
        <w:rPr>
          <w:rStyle w:val="arttitle"/>
          <w:rFonts w:asciiTheme="majorHAnsi" w:hAnsiTheme="majorHAnsi" w:cstheme="minorHAnsi"/>
        </w:rPr>
      </w:pPr>
      <w:r w:rsidRPr="0080697E">
        <w:rPr>
          <w:rStyle w:val="authors"/>
          <w:rFonts w:asciiTheme="majorHAnsi" w:hAnsiTheme="majorHAnsi" w:cstheme="minorHAnsi"/>
        </w:rPr>
        <w:t xml:space="preserve">Chatterjee, H. J. </w:t>
      </w:r>
      <w:r w:rsidRPr="0080697E">
        <w:rPr>
          <w:rStyle w:val="authors"/>
          <w:rFonts w:asciiTheme="majorHAnsi" w:hAnsiTheme="majorHAnsi" w:cstheme="minorHAnsi"/>
          <w:i/>
          <w:iCs/>
        </w:rPr>
        <w:t>et al</w:t>
      </w:r>
      <w:r w:rsidRPr="0080697E">
        <w:rPr>
          <w:rStyle w:val="authors"/>
          <w:rFonts w:asciiTheme="majorHAnsi" w:hAnsiTheme="majorHAnsi" w:cstheme="minorHAnsi"/>
        </w:rPr>
        <w:t>. (</w:t>
      </w:r>
      <w:r w:rsidRPr="0080697E">
        <w:rPr>
          <w:rStyle w:val="Date1"/>
          <w:rFonts w:asciiTheme="majorHAnsi" w:hAnsiTheme="majorHAnsi" w:cstheme="minorHAnsi"/>
        </w:rPr>
        <w:t>2018)</w:t>
      </w:r>
      <w:r w:rsidRPr="0080697E">
        <w:rPr>
          <w:rStyle w:val="apple-converted-space"/>
          <w:rFonts w:asciiTheme="majorHAnsi" w:hAnsiTheme="majorHAnsi" w:cstheme="minorHAnsi"/>
          <w:shd w:val="clear" w:color="auto" w:fill="FFFFFF"/>
        </w:rPr>
        <w:t xml:space="preserve">. </w:t>
      </w:r>
      <w:r w:rsidRPr="0080697E">
        <w:rPr>
          <w:rStyle w:val="arttitle"/>
          <w:rFonts w:asciiTheme="majorHAnsi" w:hAnsiTheme="majorHAnsi" w:cstheme="minorHAnsi"/>
        </w:rPr>
        <w:t xml:space="preserve">Non-Clinical Community Interventions: Systematised Review </w:t>
      </w:r>
    </w:p>
    <w:p w14:paraId="153EBBBC" w14:textId="77777777" w:rsidR="0080697E" w:rsidRPr="0080697E" w:rsidRDefault="0080697E" w:rsidP="0080697E">
      <w:pPr>
        <w:rPr>
          <w:rStyle w:val="Hyperlink"/>
          <w:rFonts w:asciiTheme="majorHAnsi" w:hAnsiTheme="majorHAnsi" w:cstheme="minorHAnsi"/>
        </w:rPr>
      </w:pPr>
      <w:r w:rsidRPr="0080697E">
        <w:rPr>
          <w:rStyle w:val="arttitle"/>
          <w:rFonts w:asciiTheme="majorHAnsi" w:hAnsiTheme="majorHAnsi" w:cstheme="minorHAnsi"/>
        </w:rPr>
        <w:tab/>
        <w:t>of Social Prescribing Schemes.</w:t>
      </w:r>
      <w:r w:rsidRPr="0080697E">
        <w:rPr>
          <w:rStyle w:val="apple-converted-space"/>
          <w:rFonts w:asciiTheme="majorHAnsi" w:hAnsiTheme="majorHAnsi" w:cstheme="minorHAnsi"/>
          <w:shd w:val="clear" w:color="auto" w:fill="FFFFFF"/>
        </w:rPr>
        <w:t> </w:t>
      </w:r>
      <w:r w:rsidRPr="0080697E">
        <w:rPr>
          <w:rStyle w:val="serialtitle"/>
          <w:rFonts w:asciiTheme="majorHAnsi" w:hAnsiTheme="majorHAnsi" w:cstheme="minorHAnsi"/>
          <w:i/>
          <w:iCs/>
        </w:rPr>
        <w:t>Arts &amp; Health</w:t>
      </w:r>
      <w:r w:rsidRPr="0080697E">
        <w:rPr>
          <w:rStyle w:val="serialtitle"/>
          <w:rFonts w:asciiTheme="majorHAnsi" w:hAnsiTheme="majorHAnsi" w:cstheme="minorHAnsi"/>
        </w:rPr>
        <w:t>,</w:t>
      </w:r>
      <w:r w:rsidRPr="0080697E">
        <w:rPr>
          <w:rStyle w:val="apple-converted-space"/>
          <w:rFonts w:asciiTheme="majorHAnsi" w:hAnsiTheme="majorHAnsi" w:cstheme="minorHAnsi"/>
          <w:shd w:val="clear" w:color="auto" w:fill="FFFFFF"/>
        </w:rPr>
        <w:t> </w:t>
      </w:r>
      <w:r w:rsidRPr="0080697E">
        <w:rPr>
          <w:rStyle w:val="volumeissue"/>
          <w:rFonts w:asciiTheme="majorHAnsi" w:hAnsiTheme="majorHAnsi" w:cstheme="minorHAnsi"/>
        </w:rPr>
        <w:t xml:space="preserve">10(2), pp. </w:t>
      </w:r>
      <w:r w:rsidRPr="0080697E">
        <w:rPr>
          <w:rStyle w:val="pagerange"/>
          <w:rFonts w:asciiTheme="majorHAnsi" w:hAnsiTheme="majorHAnsi" w:cstheme="minorHAnsi"/>
        </w:rPr>
        <w:t xml:space="preserve">97-123 </w:t>
      </w:r>
      <w:r w:rsidRPr="0080697E">
        <w:rPr>
          <w:rStyle w:val="pagerange"/>
          <w:rFonts w:asciiTheme="majorHAnsi" w:hAnsiTheme="majorHAnsi" w:cstheme="minorHAnsi"/>
        </w:rPr>
        <w:tab/>
        <w:t>doi:</w:t>
      </w:r>
      <w:hyperlink r:id="rId20" w:history="1">
        <w:r w:rsidRPr="0080697E">
          <w:rPr>
            <w:rStyle w:val="Hyperlink"/>
            <w:rFonts w:asciiTheme="majorHAnsi" w:hAnsiTheme="majorHAnsi" w:cstheme="minorHAnsi"/>
          </w:rPr>
          <w:t>10.1080/17533015.2017.1334002</w:t>
        </w:r>
      </w:hyperlink>
    </w:p>
    <w:p w14:paraId="22B4E0AF" w14:textId="77777777" w:rsidR="0080697E" w:rsidRPr="0080697E" w:rsidRDefault="0080697E" w:rsidP="0080697E">
      <w:pPr>
        <w:rPr>
          <w:rFonts w:asciiTheme="majorHAnsi" w:hAnsiTheme="majorHAnsi" w:cstheme="minorHAnsi"/>
        </w:rPr>
      </w:pPr>
    </w:p>
    <w:p w14:paraId="101C54B2" w14:textId="77777777" w:rsidR="0080697E" w:rsidRPr="0080697E" w:rsidRDefault="0080697E" w:rsidP="0080697E">
      <w:pPr>
        <w:widowControl w:val="0"/>
        <w:autoSpaceDE w:val="0"/>
        <w:autoSpaceDN w:val="0"/>
        <w:adjustRightInd w:val="0"/>
        <w:ind w:left="284" w:hanging="284"/>
        <w:rPr>
          <w:rFonts w:asciiTheme="majorHAnsi" w:hAnsiTheme="majorHAnsi" w:cstheme="minorHAnsi"/>
          <w:i/>
          <w:iCs/>
          <w:noProof/>
        </w:rPr>
      </w:pPr>
      <w:r w:rsidRPr="0080697E">
        <w:rPr>
          <w:rFonts w:asciiTheme="majorHAnsi" w:hAnsiTheme="majorHAnsi" w:cstheme="minorHAnsi"/>
          <w:noProof/>
        </w:rPr>
        <w:t xml:space="preserve">Chowdry, H. (2018). </w:t>
      </w:r>
      <w:r w:rsidRPr="0080697E">
        <w:rPr>
          <w:rFonts w:asciiTheme="majorHAnsi" w:hAnsiTheme="majorHAnsi" w:cstheme="minorHAnsi"/>
          <w:i/>
          <w:iCs/>
          <w:noProof/>
        </w:rPr>
        <w:t>Estimating the Prevalence of the ‘Toxic Trio’. Retrieved from https://www.childrenscommissioner.gov.uk/wp-content/uploads/2018/07/Vulnerability-Technical-Report-2-Estimating-the-prevalence-of-the-toxic-trio.pdf</w:t>
      </w:r>
    </w:p>
    <w:p w14:paraId="29E9F034" w14:textId="77777777" w:rsidR="0080697E" w:rsidRPr="0080697E" w:rsidRDefault="0080697E" w:rsidP="0080697E">
      <w:pPr>
        <w:widowControl w:val="0"/>
        <w:autoSpaceDE w:val="0"/>
        <w:autoSpaceDN w:val="0"/>
        <w:adjustRightInd w:val="0"/>
        <w:rPr>
          <w:rFonts w:asciiTheme="majorHAnsi" w:hAnsiTheme="majorHAnsi" w:cstheme="minorHAnsi"/>
          <w:iCs/>
          <w:noProof/>
        </w:rPr>
      </w:pPr>
    </w:p>
    <w:p w14:paraId="0EB0D5EF"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r w:rsidRPr="0080697E">
        <w:rPr>
          <w:rFonts w:asciiTheme="majorHAnsi" w:hAnsiTheme="majorHAnsi" w:cstheme="minorHAnsi"/>
          <w:shd w:val="clear" w:color="auto" w:fill="FFFFFF"/>
        </w:rPr>
        <w:t>Comello, M.L.G. and Slater, M.D., (2011). Effects of Adverts From a Drug and Alcohol Prevention Campaign on Willingness to Engage in Alcohol-Related Risky Behaviors. </w:t>
      </w:r>
      <w:r w:rsidRPr="0080697E">
        <w:rPr>
          <w:rFonts w:asciiTheme="majorHAnsi" w:hAnsiTheme="majorHAnsi" w:cstheme="minorHAnsi"/>
          <w:i/>
          <w:iCs/>
          <w:shd w:val="clear" w:color="auto" w:fill="FFFFFF"/>
        </w:rPr>
        <w:t>Journal of Health Psychology</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16</w:t>
      </w:r>
      <w:r w:rsidRPr="0080697E">
        <w:rPr>
          <w:rFonts w:asciiTheme="majorHAnsi" w:hAnsiTheme="majorHAnsi" w:cstheme="minorHAnsi"/>
          <w:shd w:val="clear" w:color="auto" w:fill="FFFFFF"/>
        </w:rPr>
        <w:t>(8), pp.1268-1276</w:t>
      </w:r>
    </w:p>
    <w:p w14:paraId="310BD98A"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p>
    <w:p w14:paraId="2EA540F3" w14:textId="77777777" w:rsidR="0080697E" w:rsidRPr="0080697E" w:rsidRDefault="0080697E" w:rsidP="0080697E">
      <w:pPr>
        <w:pStyle w:val="NormalWeb"/>
        <w:spacing w:line="480" w:lineRule="auto"/>
        <w:ind w:left="480" w:hanging="480"/>
        <w:contextualSpacing/>
        <w:rPr>
          <w:rFonts w:asciiTheme="majorHAnsi" w:hAnsiTheme="majorHAnsi" w:cstheme="minorHAnsi"/>
          <w:iCs/>
        </w:rPr>
      </w:pPr>
      <w:r w:rsidRPr="0080697E">
        <w:rPr>
          <w:rFonts w:asciiTheme="majorHAnsi" w:hAnsiTheme="majorHAnsi" w:cstheme="minorHAnsi"/>
        </w:rPr>
        <w:lastRenderedPageBreak/>
        <w:t xml:space="preserve">Connell, R. W. (2005). </w:t>
      </w:r>
      <w:r w:rsidRPr="0080697E">
        <w:rPr>
          <w:rFonts w:asciiTheme="majorHAnsi" w:hAnsiTheme="majorHAnsi" w:cstheme="minorHAnsi"/>
          <w:i/>
        </w:rPr>
        <w:t>Masculinities</w:t>
      </w:r>
      <w:r w:rsidRPr="0080697E">
        <w:rPr>
          <w:rFonts w:asciiTheme="majorHAnsi" w:hAnsiTheme="majorHAnsi" w:cstheme="minorHAnsi"/>
        </w:rPr>
        <w:t xml:space="preserve">. </w:t>
      </w:r>
      <w:r w:rsidRPr="0080697E">
        <w:rPr>
          <w:rFonts w:asciiTheme="majorHAnsi" w:hAnsiTheme="majorHAnsi" w:cstheme="minorHAnsi"/>
          <w:iCs/>
        </w:rPr>
        <w:t>Berkeley, CA: University of California Press</w:t>
      </w:r>
    </w:p>
    <w:p w14:paraId="7583CAAC" w14:textId="77777777" w:rsidR="0080697E" w:rsidRDefault="0080697E" w:rsidP="0080697E">
      <w:pPr>
        <w:widowControl w:val="0"/>
        <w:autoSpaceDE w:val="0"/>
        <w:autoSpaceDN w:val="0"/>
        <w:adjustRightInd w:val="0"/>
        <w:rPr>
          <w:rFonts w:asciiTheme="majorHAnsi" w:hAnsiTheme="majorHAnsi" w:cstheme="minorHAnsi"/>
          <w:noProof/>
        </w:rPr>
      </w:pPr>
    </w:p>
    <w:p w14:paraId="14B97E80" w14:textId="693A1D52" w:rsidR="0080697E" w:rsidRPr="0080697E" w:rsidRDefault="0080697E" w:rsidP="0080697E">
      <w:pPr>
        <w:widowControl w:val="0"/>
        <w:autoSpaceDE w:val="0"/>
        <w:autoSpaceDN w:val="0"/>
        <w:adjustRightInd w:val="0"/>
        <w:rPr>
          <w:rFonts w:asciiTheme="majorHAnsi" w:hAnsiTheme="majorHAnsi" w:cstheme="minorHAnsi"/>
          <w:noProof/>
        </w:rPr>
      </w:pPr>
      <w:r w:rsidRPr="0080697E">
        <w:rPr>
          <w:rFonts w:asciiTheme="majorHAnsi" w:hAnsiTheme="majorHAnsi" w:cstheme="minorHAnsi"/>
          <w:noProof/>
        </w:rPr>
        <w:t xml:space="preserve">Connell, R. (2014). The Study of Masculinities. </w:t>
      </w:r>
      <w:r w:rsidRPr="0080697E">
        <w:rPr>
          <w:rFonts w:asciiTheme="majorHAnsi" w:hAnsiTheme="majorHAnsi" w:cstheme="minorHAnsi"/>
          <w:i/>
          <w:iCs/>
          <w:noProof/>
        </w:rPr>
        <w:t>Qualitative Research Journal</w:t>
      </w:r>
      <w:r w:rsidRPr="0080697E">
        <w:rPr>
          <w:rFonts w:asciiTheme="majorHAnsi" w:hAnsiTheme="majorHAnsi" w:cstheme="minorHAnsi"/>
          <w:iCs/>
          <w:noProof/>
        </w:rPr>
        <w:t xml:space="preserve">, </w:t>
      </w:r>
      <w:r w:rsidRPr="0080697E">
        <w:rPr>
          <w:rFonts w:asciiTheme="majorHAnsi" w:hAnsiTheme="majorHAnsi" w:cstheme="minorHAnsi"/>
          <w:noProof/>
        </w:rPr>
        <w:t>14(1), pp. 5–15.</w:t>
      </w:r>
    </w:p>
    <w:p w14:paraId="2B36AE45" w14:textId="77777777" w:rsidR="0080697E" w:rsidRPr="0080697E" w:rsidRDefault="0080697E" w:rsidP="0080697E">
      <w:pPr>
        <w:widowControl w:val="0"/>
        <w:autoSpaceDE w:val="0"/>
        <w:autoSpaceDN w:val="0"/>
        <w:adjustRightInd w:val="0"/>
        <w:ind w:firstLine="284"/>
        <w:rPr>
          <w:rFonts w:asciiTheme="majorHAnsi" w:hAnsiTheme="majorHAnsi" w:cstheme="minorHAnsi"/>
          <w:noProof/>
        </w:rPr>
      </w:pPr>
      <w:r w:rsidRPr="0080697E">
        <w:rPr>
          <w:rFonts w:asciiTheme="majorHAnsi" w:hAnsiTheme="majorHAnsi" w:cstheme="minorHAnsi"/>
          <w:noProof/>
        </w:rPr>
        <w:t>doi: 10.1108/QRJ-03-2014-000</w:t>
      </w:r>
    </w:p>
    <w:p w14:paraId="6BC868A0" w14:textId="77777777" w:rsidR="0080697E" w:rsidRPr="0080697E" w:rsidRDefault="0080697E" w:rsidP="0080697E">
      <w:pPr>
        <w:widowControl w:val="0"/>
        <w:autoSpaceDE w:val="0"/>
        <w:autoSpaceDN w:val="0"/>
        <w:adjustRightInd w:val="0"/>
        <w:ind w:firstLine="284"/>
        <w:rPr>
          <w:rFonts w:asciiTheme="majorHAnsi" w:hAnsiTheme="majorHAnsi" w:cstheme="minorHAnsi"/>
          <w:noProof/>
        </w:rPr>
      </w:pPr>
    </w:p>
    <w:p w14:paraId="0262C0F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Coppock, V., and McGovern, M. (2014) </w:t>
      </w:r>
      <w:r w:rsidRPr="0080697E">
        <w:rPr>
          <w:rFonts w:asciiTheme="majorHAnsi" w:hAnsiTheme="majorHAnsi" w:cstheme="minorHAnsi"/>
          <w:shd w:val="clear" w:color="auto" w:fill="FFFFFF"/>
        </w:rPr>
        <w:t xml:space="preserve">‘Dangerous Minds’? Deconstructing Counter‐Terrorism </w:t>
      </w:r>
      <w:r w:rsidRPr="0080697E">
        <w:rPr>
          <w:rFonts w:asciiTheme="majorHAnsi" w:hAnsiTheme="majorHAnsi" w:cstheme="minorHAnsi"/>
          <w:shd w:val="clear" w:color="auto" w:fill="FFFFFF"/>
        </w:rPr>
        <w:tab/>
        <w:t>Discourse, Radicalisation and the ‘Psychological Vulnerability’ of Muslim Children and Young People in Britain. </w:t>
      </w:r>
      <w:r w:rsidRPr="0080697E">
        <w:rPr>
          <w:rFonts w:asciiTheme="majorHAnsi" w:hAnsiTheme="majorHAnsi" w:cstheme="minorHAnsi"/>
          <w:i/>
          <w:iCs/>
          <w:shd w:val="clear" w:color="auto" w:fill="FFFFFF"/>
        </w:rPr>
        <w:t>Children &amp; Society</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28</w:t>
      </w:r>
      <w:r w:rsidRPr="0080697E">
        <w:rPr>
          <w:rFonts w:asciiTheme="majorHAnsi" w:hAnsiTheme="majorHAnsi" w:cstheme="minorHAnsi"/>
          <w:shd w:val="clear" w:color="auto" w:fill="FFFFFF"/>
        </w:rPr>
        <w:t>(3), pp.242-256</w:t>
      </w:r>
    </w:p>
    <w:p w14:paraId="2192249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E9292A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Crenshaw, K. (1989). Demarginalizing the Intersection of Race and Sex: A Black Feminist Critique of Antidiscrimination Doctrine, Feminist Theory and Antiracist Politics.</w:t>
      </w:r>
      <w:r w:rsidRPr="0080697E">
        <w:rPr>
          <w:rFonts w:asciiTheme="majorHAnsi" w:hAnsiTheme="majorHAnsi" w:cstheme="minorHAnsi"/>
          <w:iCs/>
          <w:noProof/>
        </w:rPr>
        <w:t xml:space="preserve"> </w:t>
      </w:r>
      <w:r w:rsidRPr="0080697E">
        <w:rPr>
          <w:rFonts w:asciiTheme="majorHAnsi" w:hAnsiTheme="majorHAnsi" w:cstheme="minorHAnsi"/>
          <w:i/>
          <w:iCs/>
          <w:noProof/>
        </w:rPr>
        <w:t>University of Chicago Legal Forum</w:t>
      </w:r>
      <w:r w:rsidRPr="0080697E">
        <w:rPr>
          <w:rFonts w:asciiTheme="majorHAnsi" w:hAnsiTheme="majorHAnsi" w:cstheme="minorHAnsi"/>
          <w:iCs/>
          <w:noProof/>
        </w:rPr>
        <w:t xml:space="preserve">, </w:t>
      </w:r>
      <w:r w:rsidRPr="0080697E">
        <w:rPr>
          <w:rFonts w:asciiTheme="majorHAnsi" w:hAnsiTheme="majorHAnsi" w:cstheme="minorHAnsi"/>
          <w:noProof/>
        </w:rPr>
        <w:t>1(8), pp. 139–167</w:t>
      </w:r>
    </w:p>
    <w:p w14:paraId="5811847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314654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Crossley, M. L. (2004). Making Sense of 'Barebacking': Gay Men’s Narrative, Unsafe Sex and the 'Resistance Habitus'. </w:t>
      </w:r>
      <w:r w:rsidRPr="0080697E">
        <w:rPr>
          <w:rFonts w:asciiTheme="majorHAnsi" w:hAnsiTheme="majorHAnsi" w:cstheme="minorHAnsi"/>
          <w:i/>
          <w:iCs/>
          <w:noProof/>
        </w:rPr>
        <w:t>British Journal of Social Psychology</w:t>
      </w:r>
      <w:r w:rsidRPr="0080697E">
        <w:rPr>
          <w:rFonts w:asciiTheme="majorHAnsi" w:hAnsiTheme="majorHAnsi" w:cstheme="minorHAnsi"/>
          <w:iCs/>
          <w:noProof/>
        </w:rPr>
        <w:t>,</w:t>
      </w:r>
      <w:r w:rsidRPr="0080697E">
        <w:rPr>
          <w:rFonts w:asciiTheme="majorHAnsi" w:hAnsiTheme="majorHAnsi" w:cstheme="minorHAnsi"/>
          <w:noProof/>
        </w:rPr>
        <w:t xml:space="preserve"> 43(2), pp. 225–244</w:t>
      </w:r>
    </w:p>
    <w:p w14:paraId="307E6C0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D02049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de Visser, R. O. and McDonnell, E. J. (2012). ‘That’s OK. He’s a Guy': A Mixed-Methods Study of Gender Double-Standards for Alcohol Use. </w:t>
      </w:r>
      <w:r w:rsidRPr="0080697E">
        <w:rPr>
          <w:rFonts w:asciiTheme="majorHAnsi" w:hAnsiTheme="majorHAnsi" w:cstheme="minorHAnsi"/>
          <w:i/>
          <w:iCs/>
          <w:noProof/>
        </w:rPr>
        <w:t>Psychology and Health</w:t>
      </w:r>
      <w:r w:rsidRPr="0080697E">
        <w:rPr>
          <w:rFonts w:asciiTheme="majorHAnsi" w:hAnsiTheme="majorHAnsi" w:cstheme="minorHAnsi"/>
          <w:iCs/>
          <w:noProof/>
        </w:rPr>
        <w:t>,</w:t>
      </w:r>
      <w:r w:rsidRPr="0080697E">
        <w:rPr>
          <w:rFonts w:asciiTheme="majorHAnsi" w:hAnsiTheme="majorHAnsi" w:cstheme="minorHAnsi"/>
          <w:noProof/>
        </w:rPr>
        <w:t xml:space="preserve"> 27(5), pp. 618–639. doi: 10.1080/08870446.2011.617444</w:t>
      </w:r>
    </w:p>
    <w:p w14:paraId="5177888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1BD4AD4" w14:textId="77777777" w:rsidR="0080697E" w:rsidRPr="0080697E" w:rsidRDefault="0080697E" w:rsidP="0080697E">
      <w:pPr>
        <w:pStyle w:val="NormalWeb"/>
        <w:ind w:left="480" w:hanging="480"/>
        <w:contextualSpacing/>
        <w:rPr>
          <w:rFonts w:asciiTheme="majorHAnsi" w:hAnsiTheme="majorHAnsi" w:cstheme="minorHAnsi"/>
        </w:rPr>
      </w:pPr>
      <w:r w:rsidRPr="0080697E">
        <w:rPr>
          <w:rFonts w:asciiTheme="majorHAnsi" w:hAnsiTheme="majorHAnsi" w:cstheme="minorHAnsi"/>
        </w:rPr>
        <w:t xml:space="preserve">de Visser, R. O., &amp; Smith, J. A. (2007). Alcohol Consumption and Masculine Identity Among Young Men. </w:t>
      </w:r>
      <w:r w:rsidRPr="0080697E">
        <w:rPr>
          <w:rFonts w:asciiTheme="majorHAnsi" w:hAnsiTheme="majorHAnsi" w:cstheme="minorHAnsi"/>
          <w:i/>
          <w:iCs/>
        </w:rPr>
        <w:t>Psychology and Health</w:t>
      </w:r>
      <w:r w:rsidRPr="0080697E">
        <w:rPr>
          <w:rFonts w:asciiTheme="majorHAnsi" w:hAnsiTheme="majorHAnsi" w:cstheme="minorHAnsi"/>
        </w:rPr>
        <w:t xml:space="preserve">, </w:t>
      </w:r>
      <w:r w:rsidRPr="0080697E">
        <w:rPr>
          <w:rFonts w:asciiTheme="majorHAnsi" w:hAnsiTheme="majorHAnsi" w:cstheme="minorHAnsi"/>
          <w:iCs/>
        </w:rPr>
        <w:t>22</w:t>
      </w:r>
      <w:r w:rsidRPr="0080697E">
        <w:rPr>
          <w:rFonts w:asciiTheme="majorHAnsi" w:hAnsiTheme="majorHAnsi" w:cstheme="minorHAnsi"/>
        </w:rPr>
        <w:t xml:space="preserve">, pp. 595–614. </w:t>
      </w:r>
      <w:hyperlink r:id="rId21" w:history="1">
        <w:r w:rsidRPr="0080697E">
          <w:rPr>
            <w:rStyle w:val="Hyperlink"/>
            <w:rFonts w:asciiTheme="majorHAnsi" w:hAnsiTheme="majorHAnsi" w:cstheme="minorHAnsi"/>
          </w:rPr>
          <w:t>doi:10.1080/14768320600941772</w:t>
        </w:r>
      </w:hyperlink>
    </w:p>
    <w:p w14:paraId="05EC922B"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5FB0258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Department for Education (2017). </w:t>
      </w:r>
      <w:r w:rsidRPr="0080697E">
        <w:rPr>
          <w:rFonts w:asciiTheme="majorHAnsi" w:hAnsiTheme="majorHAnsi" w:cstheme="minorHAnsi"/>
          <w:i/>
          <w:noProof/>
        </w:rPr>
        <w:t>Children Looked After in England</w:t>
      </w:r>
      <w:r w:rsidRPr="0080697E">
        <w:rPr>
          <w:rFonts w:asciiTheme="majorHAnsi" w:hAnsiTheme="majorHAnsi" w:cstheme="minorHAnsi"/>
          <w:noProof/>
        </w:rPr>
        <w:t>. Retrieved from https://assets.publishing.service.gov.uk/government/uploads/system/uploads/attachment_data/file/664995/SFR50_2017-Children_looked_after_in_England.pdf</w:t>
      </w:r>
    </w:p>
    <w:p w14:paraId="039BB450"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07610A8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Department of Health / Department for Education and Skills (2006).</w:t>
      </w:r>
      <w:r w:rsidRPr="0080697E">
        <w:rPr>
          <w:rFonts w:asciiTheme="majorHAnsi" w:hAnsiTheme="majorHAnsi" w:cstheme="minorHAnsi"/>
          <w:i/>
          <w:noProof/>
        </w:rPr>
        <w:t xml:space="preserve"> Transition: Getting It Right for Young People</w:t>
      </w:r>
      <w:r w:rsidRPr="0080697E">
        <w:rPr>
          <w:rFonts w:asciiTheme="majorHAnsi" w:hAnsiTheme="majorHAnsi" w:cstheme="minorHAnsi"/>
          <w:noProof/>
        </w:rPr>
        <w:t>. Department of Health, London, UK. Retrieved from https://dera.ioe.ac.uk/8742/2/A9R93BB_Redacted.pdf</w:t>
      </w:r>
    </w:p>
    <w:p w14:paraId="30DC952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95221E1" w14:textId="77777777" w:rsidR="0080697E" w:rsidRPr="0080697E" w:rsidRDefault="0080697E" w:rsidP="0080697E">
      <w:pPr>
        <w:rPr>
          <w:rFonts w:asciiTheme="majorHAnsi" w:hAnsiTheme="majorHAnsi" w:cstheme="minorHAnsi"/>
          <w:i/>
        </w:rPr>
      </w:pPr>
      <w:r w:rsidRPr="0080697E">
        <w:rPr>
          <w:rFonts w:asciiTheme="majorHAnsi" w:hAnsiTheme="majorHAnsi" w:cstheme="minorHAnsi"/>
        </w:rPr>
        <w:t xml:space="preserve">Department for Children, Schools and Families (2008). </w:t>
      </w:r>
      <w:r w:rsidRPr="0080697E">
        <w:rPr>
          <w:rFonts w:asciiTheme="majorHAnsi" w:hAnsiTheme="majorHAnsi" w:cstheme="minorHAnsi"/>
          <w:i/>
        </w:rPr>
        <w:t>Targeted Youth Support: Integrated</w:t>
      </w:r>
    </w:p>
    <w:p w14:paraId="7EEA771F" w14:textId="77777777" w:rsidR="0080697E" w:rsidRPr="0080697E" w:rsidRDefault="0080697E" w:rsidP="0080697E">
      <w:pPr>
        <w:rPr>
          <w:rFonts w:asciiTheme="majorHAnsi" w:hAnsiTheme="majorHAnsi" w:cstheme="minorHAnsi"/>
        </w:rPr>
      </w:pPr>
      <w:r w:rsidRPr="0080697E">
        <w:rPr>
          <w:rFonts w:asciiTheme="majorHAnsi" w:hAnsiTheme="majorHAnsi" w:cstheme="minorHAnsi"/>
          <w:i/>
        </w:rPr>
        <w:t xml:space="preserve">     Support for Vulnerable Young People</w:t>
      </w:r>
      <w:r w:rsidRPr="0080697E">
        <w:rPr>
          <w:rFonts w:asciiTheme="majorHAnsi" w:hAnsiTheme="majorHAnsi" w:cstheme="minorHAnsi"/>
        </w:rPr>
        <w:t>. Retrieved from</w:t>
      </w:r>
    </w:p>
    <w:p w14:paraId="03E8DDEC"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     http://webarchive.nationalarchives.gov.uk/20090810164750/dcsf.gov.uk/everychild</w:t>
      </w:r>
    </w:p>
    <w:p w14:paraId="17964B61"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     matters/ resources-and-practice/ig00206/</w:t>
      </w:r>
    </w:p>
    <w:p w14:paraId="7BD674E4" w14:textId="77777777" w:rsidR="0080697E" w:rsidRPr="0080697E" w:rsidRDefault="0080697E" w:rsidP="0080697E">
      <w:pPr>
        <w:rPr>
          <w:rFonts w:asciiTheme="majorHAnsi" w:hAnsiTheme="majorHAnsi" w:cstheme="minorHAnsi"/>
        </w:rPr>
      </w:pPr>
    </w:p>
    <w:p w14:paraId="6D4F58EB" w14:textId="77777777" w:rsidR="0080697E" w:rsidRPr="0080697E" w:rsidRDefault="0080697E" w:rsidP="0080697E">
      <w:pPr>
        <w:rPr>
          <w:rFonts w:asciiTheme="majorHAnsi" w:hAnsiTheme="majorHAnsi" w:cstheme="minorHAnsi"/>
          <w:i/>
          <w:iCs/>
        </w:rPr>
      </w:pPr>
      <w:r w:rsidRPr="0080697E">
        <w:rPr>
          <w:rFonts w:asciiTheme="majorHAnsi" w:hAnsiTheme="majorHAnsi" w:cstheme="minorHAnsi"/>
        </w:rPr>
        <w:t xml:space="preserve">Dickson, K., Vigurs, C. A. and Newman, M.  (2013). </w:t>
      </w:r>
      <w:r w:rsidRPr="0080697E">
        <w:rPr>
          <w:rFonts w:asciiTheme="majorHAnsi" w:hAnsiTheme="majorHAnsi" w:cstheme="minorHAnsi"/>
          <w:i/>
          <w:iCs/>
        </w:rPr>
        <w:t>Youth Work: A Systematic Map of the</w:t>
      </w:r>
    </w:p>
    <w:p w14:paraId="18132696" w14:textId="77777777" w:rsidR="0080697E" w:rsidRPr="0080697E" w:rsidRDefault="0080697E" w:rsidP="0080697E">
      <w:pPr>
        <w:ind w:left="284"/>
        <w:rPr>
          <w:rFonts w:asciiTheme="majorHAnsi" w:hAnsiTheme="majorHAnsi" w:cstheme="minorHAnsi"/>
        </w:rPr>
      </w:pPr>
      <w:r w:rsidRPr="0080697E">
        <w:rPr>
          <w:rFonts w:asciiTheme="majorHAnsi" w:hAnsiTheme="majorHAnsi" w:cstheme="minorHAnsi"/>
          <w:i/>
          <w:iCs/>
        </w:rPr>
        <w:t>Research Literature</w:t>
      </w:r>
      <w:r w:rsidRPr="0080697E">
        <w:rPr>
          <w:rFonts w:asciiTheme="majorHAnsi" w:hAnsiTheme="majorHAnsi" w:cstheme="minorHAnsi"/>
          <w:iCs/>
        </w:rPr>
        <w:t>.</w:t>
      </w:r>
      <w:r w:rsidRPr="0080697E">
        <w:rPr>
          <w:rFonts w:asciiTheme="majorHAnsi" w:hAnsiTheme="majorHAnsi" w:cstheme="minorHAnsi"/>
        </w:rPr>
        <w:t xml:space="preserve"> Dublin: Department of Children and Youth Affairs / London: EPPI-Centre, Social Science Research Unit, Institute of Education, University of London.</w:t>
      </w:r>
    </w:p>
    <w:p w14:paraId="31BBFBA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3B2AB4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Dixon, J. (2008). Young People Leaving Care: Health, Wellbeing and Outcomes. </w:t>
      </w:r>
      <w:r w:rsidRPr="0080697E">
        <w:rPr>
          <w:rFonts w:asciiTheme="majorHAnsi" w:hAnsiTheme="majorHAnsi" w:cstheme="minorHAnsi"/>
          <w:iCs/>
          <w:noProof/>
        </w:rPr>
        <w:t xml:space="preserve">Child and </w:t>
      </w:r>
      <w:r w:rsidRPr="0080697E">
        <w:rPr>
          <w:rFonts w:asciiTheme="majorHAnsi" w:hAnsiTheme="majorHAnsi" w:cstheme="minorHAnsi"/>
          <w:i/>
          <w:iCs/>
          <w:noProof/>
        </w:rPr>
        <w:t>Family Social Work</w:t>
      </w:r>
      <w:r w:rsidRPr="0080697E">
        <w:rPr>
          <w:rFonts w:asciiTheme="majorHAnsi" w:hAnsiTheme="majorHAnsi" w:cstheme="minorHAnsi"/>
          <w:iCs/>
          <w:noProof/>
        </w:rPr>
        <w:t>,</w:t>
      </w:r>
      <w:r w:rsidRPr="0080697E">
        <w:rPr>
          <w:rFonts w:asciiTheme="majorHAnsi" w:hAnsiTheme="majorHAnsi" w:cstheme="minorHAnsi"/>
          <w:noProof/>
        </w:rPr>
        <w:t xml:space="preserve"> 13(2), pp. 207–217. doi:10.1111/j.1365-2206.2007.00538.x</w:t>
      </w:r>
    </w:p>
    <w:p w14:paraId="4861D30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BE9A6A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Drew, H. and Banerjee, R. (2019). Supporting the Education and Wellbeing of Children Looked-After: What is the Role of the Virtual School? </w:t>
      </w:r>
      <w:r w:rsidRPr="0080697E">
        <w:rPr>
          <w:rFonts w:asciiTheme="majorHAnsi" w:hAnsiTheme="majorHAnsi" w:cstheme="minorHAnsi"/>
          <w:i/>
          <w:iCs/>
          <w:noProof/>
        </w:rPr>
        <w:t>European Journal of Psychology of Education</w:t>
      </w:r>
      <w:r w:rsidRPr="0080697E">
        <w:rPr>
          <w:rFonts w:asciiTheme="majorHAnsi" w:hAnsiTheme="majorHAnsi" w:cstheme="minorHAnsi"/>
          <w:iCs/>
          <w:noProof/>
        </w:rPr>
        <w:t xml:space="preserve">, </w:t>
      </w:r>
      <w:r w:rsidRPr="0080697E">
        <w:rPr>
          <w:rFonts w:asciiTheme="majorHAnsi" w:hAnsiTheme="majorHAnsi" w:cstheme="minorHAnsi"/>
          <w:noProof/>
        </w:rPr>
        <w:t>34(1). pp. 101-121</w:t>
      </w:r>
    </w:p>
    <w:p w14:paraId="7DAA6EB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E654E0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shd w:val="clear" w:color="auto" w:fill="FFFFFF"/>
        </w:rPr>
        <w:t>Dyck, H.L., Campbell, M.A. and Wershler, J.L., (2018). Real-World Use of the Risk–Need–Responsivity Model and the Level of Service/Case Management Inventory with Community-Supervised Offenders. </w:t>
      </w:r>
      <w:r w:rsidRPr="0080697E">
        <w:rPr>
          <w:rFonts w:asciiTheme="majorHAnsi" w:hAnsiTheme="majorHAnsi" w:cstheme="minorHAnsi"/>
          <w:i/>
          <w:iCs/>
          <w:shd w:val="clear" w:color="auto" w:fill="FFFFFF"/>
        </w:rPr>
        <w:t xml:space="preserve">Law and Human </w:t>
      </w:r>
      <w:r w:rsidRPr="0080697E">
        <w:rPr>
          <w:rFonts w:asciiTheme="majorHAnsi" w:hAnsiTheme="majorHAnsi" w:cstheme="minorHAnsi"/>
          <w:i/>
        </w:rPr>
        <w:t>Be</w:t>
      </w:r>
      <w:r w:rsidRPr="0080697E">
        <w:rPr>
          <w:rFonts w:asciiTheme="majorHAnsi" w:hAnsiTheme="majorHAnsi" w:cstheme="minorHAnsi"/>
          <w:i/>
          <w:iCs/>
          <w:shd w:val="clear" w:color="auto" w:fill="FFFFFF"/>
        </w:rPr>
        <w:t>havior</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42</w:t>
      </w:r>
      <w:r w:rsidRPr="0080697E">
        <w:rPr>
          <w:rFonts w:asciiTheme="majorHAnsi" w:hAnsiTheme="majorHAnsi" w:cstheme="minorHAnsi"/>
          <w:shd w:val="clear" w:color="auto" w:fill="FFFFFF"/>
        </w:rPr>
        <w:t>(3), pp .258-268</w:t>
      </w:r>
    </w:p>
    <w:p w14:paraId="5F7002C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727F6D1"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Edwards, D., </w:t>
      </w:r>
      <w:r w:rsidRPr="0080697E">
        <w:rPr>
          <w:rFonts w:asciiTheme="majorHAnsi" w:hAnsiTheme="majorHAnsi" w:cstheme="minorHAnsi"/>
          <w:i/>
          <w:iCs/>
        </w:rPr>
        <w:t>et al</w:t>
      </w:r>
      <w:r w:rsidRPr="0080697E">
        <w:rPr>
          <w:rFonts w:asciiTheme="majorHAnsi" w:hAnsiTheme="majorHAnsi" w:cstheme="minorHAnsi"/>
        </w:rPr>
        <w:t>. (2020).</w:t>
      </w:r>
      <w:r w:rsidRPr="0080697E">
        <w:rPr>
          <w:rFonts w:asciiTheme="majorHAnsi" w:hAnsiTheme="majorHAnsi" w:cstheme="minorHAnsi"/>
          <w:shd w:val="clear" w:color="auto" w:fill="FFFFFF"/>
        </w:rPr>
        <w:t> </w:t>
      </w:r>
      <w:r w:rsidRPr="0080697E">
        <w:rPr>
          <w:rFonts w:asciiTheme="majorHAnsi" w:hAnsiTheme="majorHAnsi" w:cstheme="minorHAnsi"/>
        </w:rPr>
        <w:t xml:space="preserve">Looked After Children as Decision Makers: Family Group     </w:t>
      </w:r>
    </w:p>
    <w:p w14:paraId="03349E4D"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     Conferences in Practice.</w:t>
      </w:r>
      <w:r w:rsidRPr="0080697E">
        <w:rPr>
          <w:rFonts w:asciiTheme="majorHAnsi" w:hAnsiTheme="majorHAnsi" w:cstheme="minorHAnsi"/>
          <w:i/>
          <w:shd w:val="clear" w:color="auto" w:fill="FFFFFF"/>
        </w:rPr>
        <w:t> </w:t>
      </w:r>
      <w:r w:rsidRPr="0080697E">
        <w:rPr>
          <w:rFonts w:asciiTheme="majorHAnsi" w:hAnsiTheme="majorHAnsi" w:cstheme="minorHAnsi"/>
          <w:i/>
        </w:rPr>
        <w:t>C</w:t>
      </w:r>
      <w:r w:rsidRPr="0080697E">
        <w:rPr>
          <w:rFonts w:asciiTheme="majorHAnsi" w:hAnsiTheme="majorHAnsi" w:cstheme="minorHAnsi"/>
          <w:i/>
          <w:iCs/>
        </w:rPr>
        <w:t>hild Care in Practice</w:t>
      </w:r>
      <w:r w:rsidRPr="0080697E">
        <w:rPr>
          <w:rFonts w:asciiTheme="majorHAnsi" w:hAnsiTheme="majorHAnsi" w:cstheme="minorHAnsi"/>
        </w:rPr>
        <w:t>,</w:t>
      </w:r>
      <w:r w:rsidRPr="0080697E">
        <w:rPr>
          <w:rFonts w:asciiTheme="majorHAnsi" w:hAnsiTheme="majorHAnsi" w:cstheme="minorHAnsi"/>
          <w:shd w:val="clear" w:color="auto" w:fill="FFFFFF"/>
        </w:rPr>
        <w:t> </w:t>
      </w:r>
      <w:r w:rsidRPr="0080697E">
        <w:rPr>
          <w:rFonts w:asciiTheme="majorHAnsi" w:hAnsiTheme="majorHAnsi" w:cstheme="minorHAnsi"/>
        </w:rPr>
        <w:t>26(3),</w:t>
      </w:r>
      <w:r w:rsidRPr="0080697E">
        <w:rPr>
          <w:rFonts w:asciiTheme="majorHAnsi" w:hAnsiTheme="majorHAnsi" w:cstheme="minorHAnsi"/>
          <w:shd w:val="clear" w:color="auto" w:fill="FFFFFF"/>
        </w:rPr>
        <w:t> </w:t>
      </w:r>
      <w:r w:rsidRPr="0080697E">
        <w:rPr>
          <w:rFonts w:asciiTheme="majorHAnsi" w:hAnsiTheme="majorHAnsi" w:cstheme="minorHAnsi"/>
        </w:rPr>
        <w:t xml:space="preserve">318-330       </w:t>
      </w:r>
    </w:p>
    <w:p w14:paraId="14A99271"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     doi:</w:t>
      </w:r>
      <w:hyperlink r:id="rId22" w:history="1">
        <w:r w:rsidRPr="0080697E">
          <w:rPr>
            <w:rFonts w:asciiTheme="majorHAnsi" w:hAnsiTheme="majorHAnsi" w:cstheme="minorHAnsi"/>
          </w:rPr>
          <w:t>10.1080/13575279.2019.1575186</w:t>
        </w:r>
      </w:hyperlink>
    </w:p>
    <w:p w14:paraId="4863C1C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60EFAF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Elshimi, M. (2015). De-radicalisation Interventions as Technologies of the Self: A Foucauldian Analysis. </w:t>
      </w:r>
      <w:r w:rsidRPr="0080697E">
        <w:rPr>
          <w:rFonts w:asciiTheme="majorHAnsi" w:hAnsiTheme="majorHAnsi" w:cstheme="minorHAnsi"/>
          <w:i/>
          <w:iCs/>
          <w:noProof/>
        </w:rPr>
        <w:t>Critical Studies on Terrorism</w:t>
      </w:r>
      <w:r w:rsidRPr="0080697E">
        <w:rPr>
          <w:rFonts w:asciiTheme="majorHAnsi" w:hAnsiTheme="majorHAnsi" w:cstheme="minorHAnsi"/>
          <w:iCs/>
          <w:noProof/>
        </w:rPr>
        <w:t xml:space="preserve">, </w:t>
      </w:r>
      <w:r w:rsidRPr="0080697E">
        <w:rPr>
          <w:rFonts w:asciiTheme="majorHAnsi" w:hAnsiTheme="majorHAnsi" w:cstheme="minorHAnsi"/>
          <w:noProof/>
        </w:rPr>
        <w:t>8(1), pp. 110–129. doi:10.1080/17539153.2015.1005933.</w:t>
      </w:r>
    </w:p>
    <w:p w14:paraId="77BF9F1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D480842"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Elshimi, M. (2017). </w:t>
      </w:r>
      <w:r w:rsidRPr="0080697E">
        <w:rPr>
          <w:rFonts w:asciiTheme="majorHAnsi" w:hAnsiTheme="majorHAnsi" w:cstheme="minorHAnsi"/>
          <w:i/>
          <w:iCs/>
          <w:noProof/>
        </w:rPr>
        <w:t>De-radicalisation in the UK Prevent Strategy</w:t>
      </w:r>
      <w:r w:rsidRPr="0080697E">
        <w:rPr>
          <w:rFonts w:asciiTheme="majorHAnsi" w:hAnsiTheme="majorHAnsi" w:cstheme="minorHAnsi"/>
          <w:iCs/>
          <w:noProof/>
        </w:rPr>
        <w:t>.</w:t>
      </w:r>
      <w:r w:rsidRPr="0080697E">
        <w:rPr>
          <w:rFonts w:asciiTheme="majorHAnsi" w:hAnsiTheme="majorHAnsi" w:cstheme="minorHAnsi"/>
          <w:noProof/>
        </w:rPr>
        <w:t xml:space="preserve"> New York: Routledge.</w:t>
      </w:r>
    </w:p>
    <w:p w14:paraId="1F71950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36F319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Fowler, D. </w:t>
      </w:r>
      <w:r w:rsidRPr="0080697E">
        <w:rPr>
          <w:rFonts w:asciiTheme="majorHAnsi" w:hAnsiTheme="majorHAnsi" w:cstheme="minorHAnsi"/>
          <w:i/>
          <w:iCs/>
          <w:noProof/>
        </w:rPr>
        <w:t>et al</w:t>
      </w:r>
      <w:r w:rsidRPr="0080697E">
        <w:rPr>
          <w:rFonts w:asciiTheme="majorHAnsi" w:hAnsiTheme="majorHAnsi" w:cstheme="minorHAnsi"/>
          <w:noProof/>
        </w:rPr>
        <w:t>. (2017). Prevention and Treatment of Long-Term Social Disability Amongst Young People with Emerging Severe Mental Illness with Social Recovery Therapy (The PRODIGY Trial): Study Protocol for a Randomised Controlled Trial.</w:t>
      </w:r>
      <w:r w:rsidRPr="0080697E">
        <w:rPr>
          <w:rFonts w:asciiTheme="majorHAnsi" w:hAnsiTheme="majorHAnsi" w:cstheme="minorHAnsi"/>
          <w:i/>
          <w:noProof/>
        </w:rPr>
        <w:t xml:space="preserve"> </w:t>
      </w:r>
      <w:r w:rsidRPr="0080697E">
        <w:rPr>
          <w:rFonts w:asciiTheme="majorHAnsi" w:hAnsiTheme="majorHAnsi" w:cstheme="minorHAnsi"/>
          <w:i/>
          <w:iCs/>
          <w:noProof/>
        </w:rPr>
        <w:t>Trials</w:t>
      </w:r>
      <w:r w:rsidRPr="0080697E">
        <w:rPr>
          <w:rFonts w:asciiTheme="majorHAnsi" w:hAnsiTheme="majorHAnsi" w:cstheme="minorHAnsi"/>
          <w:iCs/>
          <w:noProof/>
        </w:rPr>
        <w:t xml:space="preserve">, </w:t>
      </w:r>
      <w:r w:rsidRPr="0080697E">
        <w:rPr>
          <w:rFonts w:asciiTheme="majorHAnsi" w:hAnsiTheme="majorHAnsi" w:cstheme="minorHAnsi"/>
          <w:noProof/>
        </w:rPr>
        <w:t>18, 315 doi:10.1186/s13063-017-2062-9</w:t>
      </w:r>
    </w:p>
    <w:p w14:paraId="3BCD6377"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16D934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Firmin, C. (2018). Contextual Risk, Individualised Responses: An Assessment of Safeguarding Responses to Nine Cases of Peer-on-Peer Abuse. </w:t>
      </w:r>
      <w:r w:rsidRPr="0080697E">
        <w:rPr>
          <w:rFonts w:asciiTheme="majorHAnsi" w:hAnsiTheme="majorHAnsi" w:cstheme="minorHAnsi"/>
          <w:i/>
          <w:iCs/>
          <w:noProof/>
        </w:rPr>
        <w:t>Child Abuse Review</w:t>
      </w:r>
      <w:r w:rsidRPr="0080697E">
        <w:rPr>
          <w:rFonts w:asciiTheme="majorHAnsi" w:hAnsiTheme="majorHAnsi" w:cstheme="minorHAnsi"/>
          <w:iCs/>
          <w:noProof/>
        </w:rPr>
        <w:t>,</w:t>
      </w:r>
      <w:r w:rsidRPr="0080697E">
        <w:rPr>
          <w:rFonts w:asciiTheme="majorHAnsi" w:hAnsiTheme="majorHAnsi" w:cstheme="minorHAnsi"/>
          <w:noProof/>
        </w:rPr>
        <w:t xml:space="preserve"> 27(1), pp. 42–57. doi: 10.1002/car.2449</w:t>
      </w:r>
    </w:p>
    <w:p w14:paraId="73B752A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AEB687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Di Giannantonio, M. </w:t>
      </w:r>
      <w:r w:rsidRPr="0080697E">
        <w:rPr>
          <w:rFonts w:asciiTheme="majorHAnsi" w:hAnsiTheme="majorHAnsi" w:cstheme="minorHAnsi"/>
          <w:i/>
          <w:iCs/>
          <w:noProof/>
        </w:rPr>
        <w:t>et al</w:t>
      </w:r>
      <w:r w:rsidRPr="0080697E">
        <w:rPr>
          <w:rFonts w:asciiTheme="majorHAnsi" w:hAnsiTheme="majorHAnsi" w:cstheme="minorHAnsi"/>
          <w:noProof/>
        </w:rPr>
        <w:t xml:space="preserve">. (2016). Alcohol Drinking Patterns in Young People: A Survey-Based Study. </w:t>
      </w:r>
      <w:r w:rsidRPr="0080697E">
        <w:rPr>
          <w:rFonts w:asciiTheme="majorHAnsi" w:hAnsiTheme="majorHAnsi" w:cstheme="minorHAnsi"/>
          <w:i/>
          <w:iCs/>
          <w:noProof/>
        </w:rPr>
        <w:t>Journal of Health Psychology</w:t>
      </w:r>
      <w:r w:rsidRPr="0080697E">
        <w:rPr>
          <w:rFonts w:asciiTheme="majorHAnsi" w:hAnsiTheme="majorHAnsi" w:cstheme="minorHAnsi"/>
          <w:iCs/>
          <w:noProof/>
        </w:rPr>
        <w:t>,</w:t>
      </w:r>
      <w:r w:rsidRPr="0080697E">
        <w:rPr>
          <w:rFonts w:asciiTheme="majorHAnsi" w:hAnsiTheme="majorHAnsi" w:cstheme="minorHAnsi"/>
          <w:noProof/>
        </w:rPr>
        <w:t xml:space="preserve"> 22(14), pp. 1889–1896.  doi:10.1177/1359105316667795.</w:t>
      </w:r>
    </w:p>
    <w:p w14:paraId="1412E73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43CB78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Gibson, M. (2016). Social Worker Shame: A Scoping Review. </w:t>
      </w:r>
      <w:r w:rsidRPr="0080697E">
        <w:rPr>
          <w:rFonts w:asciiTheme="majorHAnsi" w:hAnsiTheme="majorHAnsi" w:cstheme="minorHAnsi"/>
          <w:i/>
          <w:iCs/>
          <w:noProof/>
        </w:rPr>
        <w:t>British Journal of Social Work</w:t>
      </w:r>
      <w:r w:rsidRPr="0080697E">
        <w:rPr>
          <w:rFonts w:asciiTheme="majorHAnsi" w:hAnsiTheme="majorHAnsi" w:cstheme="minorHAnsi"/>
          <w:iCs/>
          <w:noProof/>
        </w:rPr>
        <w:t>,</w:t>
      </w:r>
      <w:r w:rsidRPr="0080697E">
        <w:rPr>
          <w:rFonts w:asciiTheme="majorHAnsi" w:hAnsiTheme="majorHAnsi" w:cstheme="minorHAnsi"/>
          <w:noProof/>
        </w:rPr>
        <w:t xml:space="preserve"> </w:t>
      </w:r>
      <w:r w:rsidRPr="0080697E">
        <w:rPr>
          <w:rFonts w:asciiTheme="majorHAnsi" w:hAnsiTheme="majorHAnsi" w:cstheme="minorHAnsi"/>
          <w:iCs/>
          <w:shd w:val="clear" w:color="auto" w:fill="FFFFFF"/>
        </w:rPr>
        <w:t>46</w:t>
      </w:r>
      <w:r w:rsidRPr="0080697E">
        <w:rPr>
          <w:rFonts w:asciiTheme="majorHAnsi" w:hAnsiTheme="majorHAnsi" w:cstheme="minorHAnsi"/>
          <w:shd w:val="clear" w:color="auto" w:fill="FFFFFF"/>
        </w:rPr>
        <w:t>(2), pp. 549-565</w:t>
      </w:r>
      <w:r w:rsidRPr="0080697E">
        <w:rPr>
          <w:rFonts w:asciiTheme="majorHAnsi" w:hAnsiTheme="majorHAnsi" w:cstheme="minorHAnsi"/>
          <w:noProof/>
        </w:rPr>
        <w:t>. doi: 10.1093/bjsw/bcu140</w:t>
      </w:r>
    </w:p>
    <w:p w14:paraId="185925F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2F1119A4"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Gluck, T. M., </w:t>
      </w:r>
      <w:r w:rsidRPr="0080697E">
        <w:rPr>
          <w:rFonts w:asciiTheme="majorHAnsi" w:hAnsiTheme="majorHAnsi" w:cstheme="minorHAnsi"/>
          <w:i/>
          <w:iCs/>
          <w:noProof/>
        </w:rPr>
        <w:t>et al</w:t>
      </w:r>
      <w:r w:rsidRPr="0080697E">
        <w:rPr>
          <w:rFonts w:asciiTheme="majorHAnsi" w:hAnsiTheme="majorHAnsi" w:cstheme="minorHAnsi"/>
          <w:noProof/>
        </w:rPr>
        <w:t xml:space="preserve">. (2017). A Network Analysis of Anger, Shame, Proposed ICD-11 Post-Traumatic Stress Disoder and Different Types of Childhood Trauma in Foster Care Settings in a Sample </w:t>
      </w:r>
      <w:r w:rsidRPr="0080697E">
        <w:rPr>
          <w:rFonts w:asciiTheme="majorHAnsi" w:hAnsiTheme="majorHAnsi" w:cstheme="minorHAnsi"/>
          <w:noProof/>
        </w:rPr>
        <w:lastRenderedPageBreak/>
        <w:t xml:space="preserve">of Adult Survivors. </w:t>
      </w:r>
      <w:r w:rsidRPr="0080697E">
        <w:rPr>
          <w:rFonts w:asciiTheme="majorHAnsi" w:hAnsiTheme="majorHAnsi" w:cstheme="minorHAnsi"/>
          <w:i/>
          <w:noProof/>
        </w:rPr>
        <w:t xml:space="preserve">European Journal of Psychotraumatology </w:t>
      </w:r>
      <w:r w:rsidRPr="0080697E">
        <w:rPr>
          <w:rFonts w:asciiTheme="majorHAnsi" w:hAnsiTheme="majorHAnsi" w:cstheme="minorHAnsi"/>
          <w:noProof/>
        </w:rPr>
        <w:t xml:space="preserve">[Advance online publication] </w:t>
      </w:r>
    </w:p>
    <w:p w14:paraId="3E117DEC"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12010BC7" w14:textId="77777777" w:rsidR="0080697E" w:rsidRDefault="0080697E" w:rsidP="0080697E">
      <w:pPr>
        <w:widowControl w:val="0"/>
        <w:autoSpaceDE w:val="0"/>
        <w:autoSpaceDN w:val="0"/>
        <w:adjustRightInd w:val="0"/>
        <w:ind w:left="284" w:hanging="284"/>
        <w:rPr>
          <w:rFonts w:asciiTheme="majorHAnsi" w:hAnsiTheme="majorHAnsi" w:cstheme="minorHAnsi"/>
          <w:noProof/>
        </w:rPr>
      </w:pPr>
    </w:p>
    <w:p w14:paraId="40189C4E" w14:textId="039BFB36"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Grace, B., Richardson, N. and Carroll, P. (2016). ‘If Youre Not Part of the Institution You Fall by the Wayside': Service Providers Perspectives on Moving Young Men From Disconnection and Isolation to Connection and Belonging. </w:t>
      </w:r>
      <w:r w:rsidRPr="0080697E">
        <w:rPr>
          <w:rFonts w:asciiTheme="majorHAnsi" w:hAnsiTheme="majorHAnsi" w:cstheme="minorHAnsi"/>
          <w:i/>
          <w:iCs/>
          <w:noProof/>
        </w:rPr>
        <w:t>American Journal of Men’s Health</w:t>
      </w:r>
      <w:r w:rsidRPr="0080697E">
        <w:rPr>
          <w:rFonts w:asciiTheme="majorHAnsi" w:hAnsiTheme="majorHAnsi" w:cstheme="minorHAnsi"/>
          <w:noProof/>
        </w:rPr>
        <w:t>, 12(2), pp. 252-264. doi:10.1177/1557988316634088</w:t>
      </w:r>
    </w:p>
    <w:p w14:paraId="0B31207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6B6938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Gray, E., McCambridge, J. and Strang, J. (2005). The Effectiveness of Motivational Interviewing Delivered by Youth Workers in Reducing Drinking, Cigarette and Cannabis Smoking Among Young People: Quasi-Experimental Pilot Study. </w:t>
      </w:r>
      <w:r w:rsidRPr="0080697E">
        <w:rPr>
          <w:rFonts w:asciiTheme="majorHAnsi" w:hAnsiTheme="majorHAnsi" w:cstheme="minorHAnsi"/>
          <w:i/>
          <w:iCs/>
          <w:noProof/>
        </w:rPr>
        <w:t>Alcohol and Alcoholism</w:t>
      </w:r>
      <w:r w:rsidRPr="0080697E">
        <w:rPr>
          <w:rFonts w:asciiTheme="majorHAnsi" w:hAnsiTheme="majorHAnsi" w:cstheme="minorHAnsi"/>
          <w:noProof/>
        </w:rPr>
        <w:t>, 40(6), pp. 535–539. doi: 10.1093/alcalc/agh199</w:t>
      </w:r>
    </w:p>
    <w:p w14:paraId="55465AE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71A97C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Griffith-Dickson, G., Dickson, A. and Ivermee, R.. (2014). Counter-Extremism and De-radicalisation in the UK: A Contemporary Overview.</w:t>
      </w:r>
      <w:r w:rsidRPr="0080697E">
        <w:rPr>
          <w:rFonts w:asciiTheme="majorHAnsi" w:hAnsiTheme="majorHAnsi" w:cstheme="minorHAnsi"/>
          <w:i/>
          <w:iCs/>
          <w:noProof/>
        </w:rPr>
        <w:t xml:space="preserve"> Journal for Deradicalization</w:t>
      </w:r>
      <w:r w:rsidRPr="0080697E">
        <w:rPr>
          <w:rFonts w:asciiTheme="majorHAnsi" w:hAnsiTheme="majorHAnsi" w:cstheme="minorHAnsi"/>
          <w:noProof/>
        </w:rPr>
        <w:t>, 0(1), pp. 26–37</w:t>
      </w:r>
    </w:p>
    <w:p w14:paraId="223C8B4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7B8C7B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Hahn, H. A. </w:t>
      </w:r>
      <w:r w:rsidRPr="0080697E">
        <w:rPr>
          <w:rFonts w:asciiTheme="majorHAnsi" w:hAnsiTheme="majorHAnsi" w:cstheme="minorHAnsi"/>
          <w:i/>
          <w:iCs/>
          <w:noProof/>
        </w:rPr>
        <w:t>et al</w:t>
      </w:r>
      <w:r w:rsidRPr="0080697E">
        <w:rPr>
          <w:rFonts w:asciiTheme="majorHAnsi" w:hAnsiTheme="majorHAnsi" w:cstheme="minorHAnsi"/>
          <w:noProof/>
        </w:rPr>
        <w:t xml:space="preserve">. (2018). Is it Too Soon to Meet? Examining Differences in Geosocial Networking App Use and Sexual Risk Behavior of Emerging Adults. </w:t>
      </w:r>
      <w:r w:rsidRPr="0080697E">
        <w:rPr>
          <w:rFonts w:asciiTheme="majorHAnsi" w:hAnsiTheme="majorHAnsi" w:cstheme="minorHAnsi"/>
          <w:i/>
          <w:iCs/>
          <w:noProof/>
        </w:rPr>
        <w:t>Sexuality and Culture</w:t>
      </w:r>
      <w:r w:rsidRPr="0080697E">
        <w:rPr>
          <w:rFonts w:asciiTheme="majorHAnsi" w:hAnsiTheme="majorHAnsi" w:cstheme="minorHAnsi"/>
          <w:iCs/>
          <w:noProof/>
        </w:rPr>
        <w:t xml:space="preserve">, </w:t>
      </w:r>
      <w:r w:rsidRPr="0080697E">
        <w:rPr>
          <w:rFonts w:asciiTheme="majorHAnsi" w:hAnsiTheme="majorHAnsi" w:cstheme="minorHAnsi"/>
          <w:noProof/>
        </w:rPr>
        <w:t>22(1), pp. 1–21. doi: 10.1007/s12119-017-9449-3</w:t>
      </w:r>
    </w:p>
    <w:p w14:paraId="56D1860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F1075C4" w14:textId="77777777" w:rsidR="0080697E" w:rsidRPr="0080697E" w:rsidRDefault="0080697E" w:rsidP="0080697E">
      <w:pPr>
        <w:pStyle w:val="NormalWeb"/>
        <w:ind w:left="482" w:hanging="482"/>
        <w:contextualSpacing/>
        <w:rPr>
          <w:rFonts w:asciiTheme="majorHAnsi" w:hAnsiTheme="majorHAnsi" w:cstheme="minorHAnsi"/>
        </w:rPr>
      </w:pPr>
      <w:r w:rsidRPr="0080697E">
        <w:rPr>
          <w:rFonts w:asciiTheme="majorHAnsi" w:hAnsiTheme="majorHAnsi" w:cstheme="minorHAnsi"/>
        </w:rPr>
        <w:t xml:space="preserve">Hall, M., &amp; Gough, B. (2011). Magazine and Reader Constructions of Metrosexuality and Masculinity: A Membership Categorisation Analysis. </w:t>
      </w:r>
      <w:r w:rsidRPr="0080697E">
        <w:rPr>
          <w:rFonts w:asciiTheme="majorHAnsi" w:hAnsiTheme="majorHAnsi" w:cstheme="minorHAnsi"/>
          <w:i/>
          <w:iCs/>
        </w:rPr>
        <w:t>Journal of Gender Studies</w:t>
      </w:r>
      <w:r w:rsidRPr="0080697E">
        <w:rPr>
          <w:rFonts w:asciiTheme="majorHAnsi" w:hAnsiTheme="majorHAnsi" w:cstheme="minorHAnsi"/>
        </w:rPr>
        <w:t xml:space="preserve">, </w:t>
      </w:r>
      <w:r w:rsidRPr="0080697E">
        <w:rPr>
          <w:rFonts w:asciiTheme="majorHAnsi" w:hAnsiTheme="majorHAnsi" w:cstheme="minorHAnsi"/>
          <w:iCs/>
        </w:rPr>
        <w:t>20</w:t>
      </w:r>
      <w:r w:rsidRPr="0080697E">
        <w:rPr>
          <w:rFonts w:asciiTheme="majorHAnsi" w:hAnsiTheme="majorHAnsi" w:cstheme="minorHAnsi"/>
        </w:rPr>
        <w:t>, pp. 67–86. doi:10.1080/09589236.2011.542023</w:t>
      </w:r>
    </w:p>
    <w:p w14:paraId="7582C042"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34169EE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Hanrahan, F. and Banerjee, R. (2017). ‘It Makes me Feel Alive’: The Socio-Motivational</w:t>
      </w:r>
    </w:p>
    <w:p w14:paraId="62DC1382" w14:textId="77777777" w:rsidR="0080697E" w:rsidRPr="0080697E" w:rsidRDefault="0080697E" w:rsidP="0080697E">
      <w:pPr>
        <w:widowControl w:val="0"/>
        <w:autoSpaceDE w:val="0"/>
        <w:autoSpaceDN w:val="0"/>
        <w:adjustRightInd w:val="0"/>
        <w:ind w:left="284"/>
        <w:rPr>
          <w:rFonts w:asciiTheme="majorHAnsi" w:hAnsiTheme="majorHAnsi" w:cstheme="minorHAnsi"/>
          <w:i/>
          <w:iCs/>
          <w:noProof/>
        </w:rPr>
      </w:pPr>
      <w:r w:rsidRPr="0080697E">
        <w:rPr>
          <w:rFonts w:asciiTheme="majorHAnsi" w:hAnsiTheme="majorHAnsi" w:cstheme="minorHAnsi"/>
          <w:noProof/>
        </w:rPr>
        <w:t xml:space="preserve">Impact of Drama and Theatre on Marginalised Young People. </w:t>
      </w:r>
      <w:r w:rsidRPr="0080697E">
        <w:rPr>
          <w:rFonts w:asciiTheme="majorHAnsi" w:hAnsiTheme="majorHAnsi" w:cstheme="minorHAnsi"/>
          <w:i/>
          <w:iCs/>
          <w:noProof/>
        </w:rPr>
        <w:t>Emotional and Behavioural</w:t>
      </w:r>
    </w:p>
    <w:p w14:paraId="2FE55684" w14:textId="77777777" w:rsidR="0080697E" w:rsidRPr="0080697E" w:rsidRDefault="0080697E" w:rsidP="0080697E">
      <w:pPr>
        <w:widowControl w:val="0"/>
        <w:autoSpaceDE w:val="0"/>
        <w:autoSpaceDN w:val="0"/>
        <w:adjustRightInd w:val="0"/>
        <w:ind w:left="284"/>
        <w:rPr>
          <w:rFonts w:asciiTheme="majorHAnsi" w:hAnsiTheme="majorHAnsi" w:cstheme="minorHAnsi"/>
          <w:noProof/>
        </w:rPr>
      </w:pPr>
      <w:r w:rsidRPr="0080697E">
        <w:rPr>
          <w:rFonts w:asciiTheme="majorHAnsi" w:hAnsiTheme="majorHAnsi" w:cstheme="minorHAnsi"/>
          <w:i/>
          <w:iCs/>
          <w:noProof/>
        </w:rPr>
        <w:t>Difficulties</w:t>
      </w:r>
      <w:r w:rsidRPr="0080697E">
        <w:rPr>
          <w:rFonts w:asciiTheme="majorHAnsi" w:hAnsiTheme="majorHAnsi" w:cstheme="minorHAnsi"/>
          <w:iCs/>
          <w:noProof/>
        </w:rPr>
        <w:t>,</w:t>
      </w:r>
      <w:r w:rsidRPr="0080697E">
        <w:rPr>
          <w:rFonts w:asciiTheme="majorHAnsi" w:hAnsiTheme="majorHAnsi" w:cstheme="minorHAnsi"/>
          <w:noProof/>
        </w:rPr>
        <w:t xml:space="preserve"> 22(1), pp. 35-49 </w:t>
      </w:r>
    </w:p>
    <w:p w14:paraId="0C34DC33" w14:textId="77777777" w:rsidR="0080697E" w:rsidRPr="0080697E" w:rsidRDefault="0080697E" w:rsidP="0080697E">
      <w:pPr>
        <w:widowControl w:val="0"/>
        <w:autoSpaceDE w:val="0"/>
        <w:autoSpaceDN w:val="0"/>
        <w:adjustRightInd w:val="0"/>
        <w:ind w:left="284"/>
        <w:rPr>
          <w:rFonts w:asciiTheme="majorHAnsi" w:hAnsiTheme="majorHAnsi" w:cstheme="minorHAnsi"/>
          <w:noProof/>
        </w:rPr>
      </w:pPr>
    </w:p>
    <w:p w14:paraId="62F046A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Harland, K. and McCready, S. (2014). Rough Justice: Considerations on the Role of Violence, Masculinity, and the Alienation of Young Men in Communities and Peacebuilding Processes in Northern Ireland. </w:t>
      </w:r>
      <w:r w:rsidRPr="0080697E">
        <w:rPr>
          <w:rFonts w:asciiTheme="majorHAnsi" w:hAnsiTheme="majorHAnsi" w:cstheme="minorHAnsi"/>
          <w:i/>
          <w:iCs/>
          <w:noProof/>
        </w:rPr>
        <w:t>Youth Justice</w:t>
      </w:r>
      <w:r w:rsidRPr="0080697E">
        <w:rPr>
          <w:rFonts w:asciiTheme="majorHAnsi" w:hAnsiTheme="majorHAnsi" w:cstheme="minorHAnsi"/>
          <w:iCs/>
          <w:noProof/>
        </w:rPr>
        <w:t xml:space="preserve">, </w:t>
      </w:r>
      <w:r w:rsidRPr="0080697E">
        <w:rPr>
          <w:rFonts w:asciiTheme="majorHAnsi" w:hAnsiTheme="majorHAnsi" w:cstheme="minorHAnsi"/>
          <w:noProof/>
        </w:rPr>
        <w:t>14(3), pp. 269–283. doi:10.1177/1473225414549696</w:t>
      </w:r>
    </w:p>
    <w:p w14:paraId="36D24782"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C0E28D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Harland, K. and McCready, S. (2015)</w:t>
      </w:r>
      <w:r w:rsidRPr="0080697E">
        <w:rPr>
          <w:rFonts w:asciiTheme="majorHAnsi" w:hAnsiTheme="majorHAnsi" w:cstheme="minorHAnsi"/>
          <w:iCs/>
          <w:noProof/>
        </w:rPr>
        <w:t>.</w:t>
      </w:r>
      <w:r w:rsidRPr="0080697E">
        <w:rPr>
          <w:rFonts w:asciiTheme="majorHAnsi" w:hAnsiTheme="majorHAnsi" w:cstheme="minorHAnsi"/>
          <w:i/>
          <w:iCs/>
          <w:noProof/>
        </w:rPr>
        <w:t xml:space="preserve"> Boys, Young Men and Violence: Masculinities, Education and Practice</w:t>
      </w:r>
      <w:r w:rsidRPr="0080697E">
        <w:rPr>
          <w:rFonts w:asciiTheme="majorHAnsi" w:hAnsiTheme="majorHAnsi" w:cstheme="minorHAnsi"/>
          <w:iCs/>
          <w:noProof/>
        </w:rPr>
        <w:t>.</w:t>
      </w:r>
      <w:r w:rsidRPr="0080697E">
        <w:rPr>
          <w:rFonts w:asciiTheme="majorHAnsi" w:hAnsiTheme="majorHAnsi" w:cstheme="minorHAnsi"/>
          <w:noProof/>
        </w:rPr>
        <w:t xml:space="preserve"> Basington: Palgrave Macmillan Limited</w:t>
      </w:r>
    </w:p>
    <w:p w14:paraId="06414EB8"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1275AC6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Haslam, S. A. </w:t>
      </w:r>
      <w:r w:rsidRPr="0080697E">
        <w:rPr>
          <w:rFonts w:asciiTheme="majorHAnsi" w:hAnsiTheme="majorHAnsi" w:cstheme="minorHAnsi"/>
          <w:i/>
          <w:iCs/>
          <w:noProof/>
        </w:rPr>
        <w:t>et al</w:t>
      </w:r>
      <w:r w:rsidRPr="0080697E">
        <w:rPr>
          <w:rFonts w:asciiTheme="majorHAnsi" w:hAnsiTheme="majorHAnsi" w:cstheme="minorHAnsi"/>
          <w:noProof/>
        </w:rPr>
        <w:t>. (2018). 'Social cure, What Social Cure?' The Propensity to Underestimate the Importance of Social Factors for Health.</w:t>
      </w:r>
      <w:r w:rsidRPr="0080697E">
        <w:rPr>
          <w:rFonts w:asciiTheme="majorHAnsi" w:hAnsiTheme="majorHAnsi" w:cstheme="minorHAnsi"/>
          <w:iCs/>
          <w:noProof/>
        </w:rPr>
        <w:t xml:space="preserve"> </w:t>
      </w:r>
      <w:r w:rsidRPr="0080697E">
        <w:rPr>
          <w:rFonts w:asciiTheme="majorHAnsi" w:hAnsiTheme="majorHAnsi" w:cstheme="minorHAnsi"/>
          <w:i/>
          <w:iCs/>
          <w:noProof/>
        </w:rPr>
        <w:t>Social Science and Medicine</w:t>
      </w:r>
      <w:r w:rsidRPr="0080697E">
        <w:rPr>
          <w:rFonts w:asciiTheme="majorHAnsi" w:hAnsiTheme="majorHAnsi" w:cstheme="minorHAnsi"/>
          <w:iCs/>
          <w:noProof/>
        </w:rPr>
        <w:t>,</w:t>
      </w:r>
      <w:r w:rsidRPr="0080697E">
        <w:rPr>
          <w:rFonts w:asciiTheme="majorHAnsi" w:hAnsiTheme="majorHAnsi" w:cstheme="minorHAnsi"/>
          <w:noProof/>
        </w:rPr>
        <w:t xml:space="preserve"> 198, pp. 14–21. doi: 10.1016/j.socscimed.2017.12.020</w:t>
      </w:r>
    </w:p>
    <w:p w14:paraId="4764CBA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4E75885" w14:textId="77777777" w:rsid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p>
    <w:p w14:paraId="0CECA732" w14:textId="77777777" w:rsid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p>
    <w:p w14:paraId="122954AD" w14:textId="77777777" w:rsid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p>
    <w:p w14:paraId="00E5C1C1" w14:textId="3F8CA882" w:rsidR="0080697E" w:rsidRPr="0080697E" w:rsidRDefault="0080697E" w:rsidP="0080697E">
      <w:pPr>
        <w:widowControl w:val="0"/>
        <w:autoSpaceDE w:val="0"/>
        <w:autoSpaceDN w:val="0"/>
        <w:adjustRightInd w:val="0"/>
        <w:ind w:left="284" w:hanging="284"/>
        <w:rPr>
          <w:rFonts w:asciiTheme="majorHAnsi" w:hAnsiTheme="majorHAnsi" w:cstheme="minorHAnsi"/>
          <w:iCs/>
          <w:shd w:val="clear" w:color="auto" w:fill="FFFFFF"/>
        </w:rPr>
      </w:pPr>
      <w:r w:rsidRPr="0080697E">
        <w:rPr>
          <w:rFonts w:asciiTheme="majorHAnsi" w:hAnsiTheme="majorHAnsi" w:cstheme="minorHAnsi"/>
          <w:shd w:val="clear" w:color="auto" w:fill="FFFFFF"/>
        </w:rPr>
        <w:t xml:space="preserve">Hazel, N., </w:t>
      </w:r>
      <w:r w:rsidRPr="0080697E">
        <w:rPr>
          <w:rFonts w:asciiTheme="majorHAnsi" w:hAnsiTheme="majorHAnsi" w:cstheme="minorHAnsi"/>
          <w:i/>
          <w:iCs/>
          <w:shd w:val="clear" w:color="auto" w:fill="FFFFFF"/>
        </w:rPr>
        <w:t>et al</w:t>
      </w:r>
      <w:r w:rsidRPr="0080697E">
        <w:rPr>
          <w:rFonts w:asciiTheme="majorHAnsi" w:hAnsiTheme="majorHAnsi" w:cstheme="minorHAnsi"/>
          <w:shd w:val="clear" w:color="auto" w:fill="FFFFFF"/>
        </w:rPr>
        <w:t xml:space="preserve">. (2002). </w:t>
      </w:r>
      <w:r w:rsidRPr="0080697E">
        <w:rPr>
          <w:rFonts w:asciiTheme="majorHAnsi" w:hAnsiTheme="majorHAnsi" w:cstheme="minorHAnsi"/>
          <w:i/>
          <w:shd w:val="clear" w:color="auto" w:fill="FFFFFF"/>
        </w:rPr>
        <w:t>Detention and Training: Assessment of the Detention and Training Order and its Impact on the Secure Estate Across England and Wales</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Youth Justice Board (YJB). Retrieved from https://www.ojp.gov/ncjrs/virtual-library/abstracts/detention-and-training-assessment-detention-and-training-order-and</w:t>
      </w:r>
    </w:p>
    <w:p w14:paraId="0946B4C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892CBF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Hegarty, P. </w:t>
      </w:r>
      <w:r w:rsidRPr="0080697E">
        <w:rPr>
          <w:rFonts w:asciiTheme="majorHAnsi" w:hAnsiTheme="majorHAnsi" w:cstheme="minorHAnsi"/>
          <w:i/>
          <w:iCs/>
          <w:noProof/>
        </w:rPr>
        <w:t>et al</w:t>
      </w:r>
      <w:r w:rsidRPr="0080697E">
        <w:rPr>
          <w:rFonts w:asciiTheme="majorHAnsi" w:hAnsiTheme="majorHAnsi" w:cstheme="minorHAnsi"/>
          <w:noProof/>
        </w:rPr>
        <w:t xml:space="preserve"> (2018). The Influence of Magazines on Men: Normalizing and Challenging Young Men’s Prejudice with Lads Mags. </w:t>
      </w:r>
      <w:r w:rsidRPr="0080697E">
        <w:rPr>
          <w:rFonts w:asciiTheme="majorHAnsi" w:hAnsiTheme="majorHAnsi" w:cstheme="minorHAnsi"/>
          <w:iCs/>
          <w:noProof/>
        </w:rPr>
        <w:t>P</w:t>
      </w:r>
      <w:r w:rsidRPr="0080697E">
        <w:rPr>
          <w:rFonts w:asciiTheme="majorHAnsi" w:hAnsiTheme="majorHAnsi" w:cstheme="minorHAnsi"/>
          <w:i/>
          <w:iCs/>
          <w:noProof/>
        </w:rPr>
        <w:t>sychology of Men and Masculinity</w:t>
      </w:r>
      <w:r w:rsidRPr="0080697E">
        <w:rPr>
          <w:rFonts w:asciiTheme="majorHAnsi" w:hAnsiTheme="majorHAnsi" w:cstheme="minorHAnsi"/>
          <w:iCs/>
          <w:noProof/>
        </w:rPr>
        <w:t>,</w:t>
      </w:r>
      <w:r w:rsidRPr="0080697E">
        <w:rPr>
          <w:rFonts w:asciiTheme="majorHAnsi" w:hAnsiTheme="majorHAnsi" w:cstheme="minorHAnsi"/>
          <w:noProof/>
        </w:rPr>
        <w:t xml:space="preserve"> 19(1), pp. 131–144. doi: 10.1037/men0000075</w:t>
      </w:r>
    </w:p>
    <w:p w14:paraId="32A8214E"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71289B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Heron, G., and Lightowler, C. (2020). Examining Perofessionals' Critical Thinking about Children who Pose a Serious Threat to Others.</w:t>
      </w:r>
      <w:r w:rsidRPr="0080697E">
        <w:rPr>
          <w:rFonts w:asciiTheme="majorHAnsi" w:hAnsiTheme="majorHAnsi" w:cstheme="minorHAnsi"/>
          <w:iCs/>
          <w:noProof/>
        </w:rPr>
        <w:t xml:space="preserve"> </w:t>
      </w:r>
      <w:r w:rsidRPr="0080697E">
        <w:rPr>
          <w:rFonts w:asciiTheme="majorHAnsi" w:hAnsiTheme="majorHAnsi" w:cstheme="minorHAnsi"/>
          <w:i/>
          <w:iCs/>
          <w:noProof/>
        </w:rPr>
        <w:t>British Journal of Social Work</w:t>
      </w:r>
      <w:r w:rsidRPr="0080697E">
        <w:rPr>
          <w:rFonts w:asciiTheme="majorHAnsi" w:hAnsiTheme="majorHAnsi" w:cstheme="minorHAnsi"/>
          <w:iCs/>
          <w:noProof/>
        </w:rPr>
        <w:t>,</w:t>
      </w:r>
      <w:r w:rsidRPr="0080697E">
        <w:rPr>
          <w:rFonts w:asciiTheme="majorHAnsi" w:hAnsiTheme="majorHAnsi" w:cstheme="minorHAnsi"/>
          <w:noProof/>
        </w:rPr>
        <w:t xml:space="preserve"> 50, pp. 598-615</w:t>
      </w:r>
    </w:p>
    <w:p w14:paraId="1D3A56A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219F87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Hill, N. (2018). </w:t>
      </w:r>
      <w:r w:rsidRPr="0080697E">
        <w:rPr>
          <w:rFonts w:asciiTheme="majorHAnsi" w:hAnsiTheme="majorHAnsi" w:cstheme="minorHAnsi"/>
          <w:i/>
          <w:noProof/>
        </w:rPr>
        <w:t>Serious Case Review - Chris</w:t>
      </w:r>
      <w:r w:rsidRPr="0080697E">
        <w:rPr>
          <w:rFonts w:asciiTheme="majorHAnsi" w:hAnsiTheme="majorHAnsi" w:cstheme="minorHAnsi"/>
          <w:noProof/>
        </w:rPr>
        <w:t xml:space="preserve">. Newham Local Safeguarding Children Board. Retrieved from https://www.newhamscp.org.uk/wp-content/uploads/2018/10/Serious-Case-Review-Chris-.pdf </w:t>
      </w:r>
    </w:p>
    <w:p w14:paraId="195EAE6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0545FF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Hiller, R.M. </w:t>
      </w:r>
      <w:r w:rsidRPr="0080697E">
        <w:rPr>
          <w:rFonts w:asciiTheme="majorHAnsi" w:hAnsiTheme="majorHAnsi" w:cstheme="minorHAnsi"/>
          <w:i/>
          <w:iCs/>
          <w:noProof/>
        </w:rPr>
        <w:t>et al</w:t>
      </w:r>
      <w:r w:rsidRPr="0080697E">
        <w:rPr>
          <w:rFonts w:asciiTheme="majorHAnsi" w:hAnsiTheme="majorHAnsi" w:cstheme="minorHAnsi"/>
          <w:noProof/>
        </w:rPr>
        <w:t xml:space="preserve"> (2000). A Longitudinal Study of Cognitive Predictors of (Complex) Post-Traumatic Stress in Young People in Out-of-Home Care.</w:t>
      </w:r>
      <w:r w:rsidRPr="0080697E">
        <w:rPr>
          <w:rFonts w:asciiTheme="majorHAnsi" w:hAnsiTheme="majorHAnsi" w:cstheme="minorHAnsi"/>
          <w:i/>
          <w:noProof/>
        </w:rPr>
        <w:t xml:space="preserve"> </w:t>
      </w:r>
      <w:r w:rsidRPr="0080697E">
        <w:rPr>
          <w:rFonts w:asciiTheme="majorHAnsi" w:hAnsiTheme="majorHAnsi" w:cstheme="minorHAnsi"/>
          <w:i/>
          <w:iCs/>
          <w:noProof/>
        </w:rPr>
        <w:t>Journal of Child Psychology and Psychiatry</w:t>
      </w:r>
      <w:r w:rsidRPr="0080697E">
        <w:rPr>
          <w:rFonts w:asciiTheme="majorHAnsi" w:hAnsiTheme="majorHAnsi" w:cstheme="minorHAnsi"/>
          <w:i/>
          <w:noProof/>
        </w:rPr>
        <w:t xml:space="preserve"> </w:t>
      </w:r>
      <w:r w:rsidRPr="0080697E">
        <w:rPr>
          <w:rFonts w:asciiTheme="majorHAnsi" w:hAnsiTheme="majorHAnsi" w:cstheme="minorHAnsi"/>
          <w:noProof/>
        </w:rPr>
        <w:t>[Advance Online Publication]</w:t>
      </w:r>
    </w:p>
    <w:p w14:paraId="1FF3087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499950E4"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shd w:val="clear" w:color="auto" w:fill="FFFFFF"/>
        </w:rPr>
        <w:t>Hittner, J.B. and Swickert, R., (2006). Sensation Seeking and Alcohol Use: A Meta-Analytic Review. </w:t>
      </w:r>
      <w:r w:rsidRPr="0080697E">
        <w:rPr>
          <w:rFonts w:asciiTheme="majorHAnsi" w:hAnsiTheme="majorHAnsi" w:cstheme="minorHAnsi"/>
          <w:i/>
          <w:iCs/>
          <w:shd w:val="clear" w:color="auto" w:fill="FFFFFF"/>
        </w:rPr>
        <w:t>Addictive Behaviors</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31</w:t>
      </w:r>
      <w:r w:rsidRPr="0080697E">
        <w:rPr>
          <w:rFonts w:asciiTheme="majorHAnsi" w:hAnsiTheme="majorHAnsi" w:cstheme="minorHAnsi"/>
          <w:shd w:val="clear" w:color="auto" w:fill="FFFFFF"/>
        </w:rPr>
        <w:t>(8), pp.1383-1401</w:t>
      </w:r>
    </w:p>
    <w:p w14:paraId="19C11E7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20BB44DA"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r w:rsidRPr="0080697E">
        <w:rPr>
          <w:rFonts w:asciiTheme="majorHAnsi" w:hAnsiTheme="majorHAnsi" w:cstheme="minorHAnsi"/>
          <w:noProof/>
        </w:rPr>
        <w:t xml:space="preserve">HM Inspectorate of Probation (2016). </w:t>
      </w:r>
      <w:r w:rsidRPr="0080697E">
        <w:rPr>
          <w:rFonts w:asciiTheme="majorHAnsi" w:hAnsiTheme="majorHAnsi" w:cstheme="minorHAnsi"/>
          <w:i/>
          <w:iCs/>
          <w:noProof/>
        </w:rPr>
        <w:t xml:space="preserve">Referral Orders - Do They Achieve Their Potential? </w:t>
      </w:r>
      <w:r w:rsidRPr="0080697E">
        <w:rPr>
          <w:rFonts w:asciiTheme="majorHAnsi" w:hAnsiTheme="majorHAnsi" w:cstheme="minorHAnsi"/>
          <w:iCs/>
          <w:noProof/>
        </w:rPr>
        <w:t>Retrieved from https://www.justiceinspectorates.gov.uk/hmiprobation/wp-content/uploads/sites/5/2016/07/Referral-orders-do-they-achieve-their-potential.pdf</w:t>
      </w:r>
    </w:p>
    <w:p w14:paraId="4B4D35D0"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p>
    <w:p w14:paraId="6C16458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Holmstrom, C. (2020). Transitions to Adult Social Care, in Braye, S. and Shoot, M., </w:t>
      </w:r>
      <w:r w:rsidRPr="0080697E">
        <w:rPr>
          <w:rFonts w:asciiTheme="majorHAnsi" w:hAnsiTheme="majorHAnsi" w:cstheme="minorHAnsi"/>
          <w:iCs/>
          <w:noProof/>
        </w:rPr>
        <w:t>T</w:t>
      </w:r>
      <w:r w:rsidRPr="0080697E">
        <w:rPr>
          <w:rFonts w:asciiTheme="majorHAnsi" w:hAnsiTheme="majorHAnsi" w:cstheme="minorHAnsi"/>
          <w:i/>
          <w:iCs/>
          <w:noProof/>
        </w:rPr>
        <w:t>he Care Act 2014: Wellbeing in Practice</w:t>
      </w:r>
      <w:r w:rsidRPr="0080697E">
        <w:rPr>
          <w:rFonts w:asciiTheme="majorHAnsi" w:hAnsiTheme="majorHAnsi" w:cstheme="minorHAnsi"/>
          <w:iCs/>
          <w:noProof/>
        </w:rPr>
        <w:t xml:space="preserve">. </w:t>
      </w:r>
      <w:r w:rsidRPr="0080697E">
        <w:rPr>
          <w:rFonts w:asciiTheme="majorHAnsi" w:hAnsiTheme="majorHAnsi" w:cstheme="minorHAnsi"/>
          <w:noProof/>
        </w:rPr>
        <w:t>London, Sage</w:t>
      </w:r>
    </w:p>
    <w:p w14:paraId="2D7530A5"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p>
    <w:p w14:paraId="03D7E83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Home Office (2011). </w:t>
      </w:r>
      <w:r w:rsidRPr="0080697E">
        <w:rPr>
          <w:rFonts w:asciiTheme="majorHAnsi" w:hAnsiTheme="majorHAnsi" w:cstheme="minorHAnsi"/>
          <w:i/>
          <w:noProof/>
        </w:rPr>
        <w:t xml:space="preserve">Ending Gang and Youth Violence: A Cross-Government Report. </w:t>
      </w:r>
      <w:r w:rsidRPr="0080697E">
        <w:rPr>
          <w:rFonts w:asciiTheme="majorHAnsi" w:hAnsiTheme="majorHAnsi" w:cstheme="minorHAnsi"/>
          <w:noProof/>
        </w:rPr>
        <w:t>Retrieved from https://assets.publishing.service.gov.uk/government/uploads/system/uploads/attachment_data/file/97861/gang-violence-summary.pdf</w:t>
      </w:r>
    </w:p>
    <w:p w14:paraId="0CF410E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A39F52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Home Office (2017). </w:t>
      </w:r>
      <w:r w:rsidRPr="0080697E">
        <w:rPr>
          <w:rFonts w:asciiTheme="majorHAnsi" w:hAnsiTheme="majorHAnsi" w:cstheme="minorHAnsi"/>
          <w:i/>
          <w:iCs/>
          <w:noProof/>
        </w:rPr>
        <w:t>Individuals Referred to and Supported Through the Prevent Programme, April 2016 to March 2017</w:t>
      </w:r>
      <w:r w:rsidRPr="0080697E">
        <w:rPr>
          <w:rFonts w:asciiTheme="majorHAnsi" w:hAnsiTheme="majorHAnsi" w:cstheme="minorHAnsi"/>
          <w:iCs/>
          <w:noProof/>
        </w:rPr>
        <w:t xml:space="preserve">. </w:t>
      </w:r>
      <w:r w:rsidRPr="0080697E">
        <w:rPr>
          <w:rFonts w:asciiTheme="majorHAnsi" w:hAnsiTheme="majorHAnsi" w:cstheme="minorHAnsi"/>
          <w:noProof/>
        </w:rPr>
        <w:t>doi: 10.1177/1524839914543105.</w:t>
      </w:r>
    </w:p>
    <w:p w14:paraId="6C7E43E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3C9896F" w14:textId="77777777" w:rsidR="0080697E" w:rsidRDefault="0080697E" w:rsidP="0080697E">
      <w:pPr>
        <w:ind w:left="284" w:hanging="284"/>
        <w:rPr>
          <w:rFonts w:asciiTheme="majorHAnsi" w:eastAsia="Arial" w:hAnsiTheme="majorHAnsi" w:cstheme="minorHAnsi"/>
        </w:rPr>
      </w:pPr>
    </w:p>
    <w:p w14:paraId="42FF4530" w14:textId="390EB1D8" w:rsidR="0080697E" w:rsidRPr="0080697E" w:rsidRDefault="0080697E" w:rsidP="0080697E">
      <w:pPr>
        <w:ind w:left="284" w:hanging="284"/>
        <w:rPr>
          <w:rFonts w:asciiTheme="majorHAnsi" w:hAnsiTheme="majorHAnsi" w:cstheme="minorHAnsi"/>
        </w:rPr>
      </w:pPr>
      <w:r w:rsidRPr="0080697E">
        <w:rPr>
          <w:rFonts w:asciiTheme="majorHAnsi" w:eastAsia="Arial" w:hAnsiTheme="majorHAnsi" w:cstheme="minorHAnsi"/>
        </w:rPr>
        <w:t xml:space="preserve">Home Office (2020). </w:t>
      </w:r>
      <w:r w:rsidRPr="0080697E">
        <w:rPr>
          <w:rFonts w:asciiTheme="majorHAnsi" w:eastAsia="Arial" w:hAnsiTheme="majorHAnsi" w:cstheme="minorHAnsi"/>
          <w:i/>
          <w:iCs/>
        </w:rPr>
        <w:t>Criminal Exploitation of Children and Vulnerable Adults: County Lines.</w:t>
      </w:r>
      <w:r w:rsidRPr="0080697E">
        <w:rPr>
          <w:rFonts w:asciiTheme="majorHAnsi" w:eastAsia="Arial" w:hAnsiTheme="majorHAnsi" w:cstheme="minorHAnsi"/>
          <w:iCs/>
        </w:rPr>
        <w:t xml:space="preserve"> </w:t>
      </w:r>
      <w:r w:rsidRPr="0080697E">
        <w:rPr>
          <w:rFonts w:asciiTheme="majorHAnsi" w:eastAsia="Arial" w:hAnsiTheme="majorHAnsi" w:cstheme="minorHAnsi"/>
        </w:rPr>
        <w:t xml:space="preserve">Retrieved from: </w:t>
      </w:r>
      <w:hyperlink r:id="rId23" w:history="1">
        <w:r w:rsidRPr="0080697E">
          <w:rPr>
            <w:rStyle w:val="Hyperlink"/>
            <w:rFonts w:asciiTheme="majorHAnsi" w:eastAsia="Arial" w:hAnsiTheme="majorHAnsi" w:cstheme="minorHAnsi"/>
          </w:rPr>
          <w:t>https://www.gov.uk/government/publications/criminal-exploitation-of-children-and-vulnerable-adults-county-lines/criminal-exploitation-of-children-and-vulnerable-adults-county-lines</w:t>
        </w:r>
      </w:hyperlink>
    </w:p>
    <w:p w14:paraId="560E27A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8148DCE" w14:textId="77777777" w:rsidR="0080697E" w:rsidRPr="0080697E" w:rsidRDefault="0080697E" w:rsidP="0080697E">
      <w:pPr>
        <w:ind w:left="284" w:hanging="284"/>
        <w:rPr>
          <w:rFonts w:asciiTheme="majorHAnsi" w:eastAsia="Arial" w:hAnsiTheme="majorHAnsi" w:cstheme="minorHAnsi"/>
        </w:rPr>
      </w:pPr>
      <w:r w:rsidRPr="0080697E">
        <w:rPr>
          <w:rFonts w:asciiTheme="majorHAnsi" w:eastAsia="Arial" w:hAnsiTheme="majorHAnsi" w:cstheme="minorHAnsi"/>
        </w:rPr>
        <w:t>Horner, A. (2018). How Social Prescribing Can Help Young People.</w:t>
      </w:r>
      <w:r w:rsidRPr="0080697E">
        <w:rPr>
          <w:rFonts w:asciiTheme="majorHAnsi" w:eastAsia="Arial" w:hAnsiTheme="majorHAnsi" w:cstheme="minorHAnsi"/>
          <w:i/>
        </w:rPr>
        <w:t xml:space="preserve"> </w:t>
      </w:r>
      <w:r w:rsidRPr="0080697E">
        <w:rPr>
          <w:rFonts w:asciiTheme="majorHAnsi" w:eastAsia="Arial" w:hAnsiTheme="majorHAnsi" w:cstheme="minorHAnsi"/>
          <w:i/>
          <w:iCs/>
        </w:rPr>
        <w:t>Nursing Children and Young People</w:t>
      </w:r>
      <w:r w:rsidRPr="0080697E">
        <w:rPr>
          <w:rFonts w:asciiTheme="majorHAnsi" w:eastAsia="Arial" w:hAnsiTheme="majorHAnsi" w:cstheme="minorHAnsi"/>
          <w:iCs/>
        </w:rPr>
        <w:t xml:space="preserve">, </w:t>
      </w:r>
      <w:r w:rsidRPr="0080697E">
        <w:rPr>
          <w:rFonts w:asciiTheme="majorHAnsi" w:eastAsia="Arial" w:hAnsiTheme="majorHAnsi" w:cstheme="minorHAnsi"/>
        </w:rPr>
        <w:t>31(3) pp. 14-15. doi:10.7748/ncyp.31.3.14.s14</w:t>
      </w:r>
    </w:p>
    <w:p w14:paraId="47910B00" w14:textId="77777777" w:rsidR="0080697E" w:rsidRPr="0080697E" w:rsidRDefault="0080697E" w:rsidP="0080697E">
      <w:pPr>
        <w:ind w:left="284" w:hanging="284"/>
        <w:rPr>
          <w:rFonts w:asciiTheme="majorHAnsi" w:hAnsiTheme="majorHAnsi" w:cstheme="minorHAnsi"/>
          <w:noProof/>
        </w:rPr>
      </w:pPr>
    </w:p>
    <w:p w14:paraId="225FDFE2"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Jackson, C. </w:t>
      </w:r>
      <w:r w:rsidRPr="0080697E">
        <w:rPr>
          <w:rFonts w:asciiTheme="majorHAnsi" w:hAnsiTheme="majorHAnsi" w:cstheme="minorHAnsi"/>
          <w:i/>
          <w:iCs/>
          <w:noProof/>
        </w:rPr>
        <w:t>et al</w:t>
      </w:r>
      <w:r w:rsidRPr="0080697E">
        <w:rPr>
          <w:rFonts w:asciiTheme="majorHAnsi" w:hAnsiTheme="majorHAnsi" w:cstheme="minorHAnsi"/>
          <w:noProof/>
        </w:rPr>
        <w:t xml:space="preserve">. (2012). Interventions to Prevent Substance Use and Risky Sexual Behaviour in Young People: A Systematic Review. </w:t>
      </w:r>
      <w:r w:rsidRPr="0080697E">
        <w:rPr>
          <w:rFonts w:asciiTheme="majorHAnsi" w:hAnsiTheme="majorHAnsi" w:cstheme="minorHAnsi"/>
          <w:i/>
          <w:iCs/>
          <w:noProof/>
        </w:rPr>
        <w:t>Addiction</w:t>
      </w:r>
      <w:r w:rsidRPr="0080697E">
        <w:rPr>
          <w:rFonts w:asciiTheme="majorHAnsi" w:hAnsiTheme="majorHAnsi" w:cstheme="minorHAnsi"/>
          <w:iCs/>
          <w:noProof/>
        </w:rPr>
        <w:t>,</w:t>
      </w:r>
      <w:r w:rsidRPr="0080697E">
        <w:rPr>
          <w:rFonts w:asciiTheme="majorHAnsi" w:hAnsiTheme="majorHAnsi" w:cstheme="minorHAnsi"/>
          <w:noProof/>
        </w:rPr>
        <w:t xml:space="preserve"> 107(4), pp. 733–747. doi:10.1111/j.1360-0443.2011.03751.x</w:t>
      </w:r>
    </w:p>
    <w:p w14:paraId="531CB59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F706A6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Jeong, S., McGarrell, E. F. and Hipple, N. K. (2012). Long-Term Impact of Family Group Conferences on Re-offending: The Indianapolis Restorative Justice Experiment. </w:t>
      </w:r>
      <w:r w:rsidRPr="0080697E">
        <w:rPr>
          <w:rFonts w:asciiTheme="majorHAnsi" w:hAnsiTheme="majorHAnsi" w:cstheme="minorHAnsi"/>
          <w:i/>
          <w:iCs/>
          <w:noProof/>
        </w:rPr>
        <w:t>Journal of Experimental Criminology</w:t>
      </w:r>
      <w:r w:rsidRPr="0080697E">
        <w:rPr>
          <w:rFonts w:asciiTheme="majorHAnsi" w:hAnsiTheme="majorHAnsi" w:cstheme="minorHAnsi"/>
          <w:iCs/>
          <w:noProof/>
        </w:rPr>
        <w:t>,</w:t>
      </w:r>
      <w:r w:rsidRPr="0080697E">
        <w:rPr>
          <w:rFonts w:asciiTheme="majorHAnsi" w:hAnsiTheme="majorHAnsi" w:cstheme="minorHAnsi"/>
          <w:noProof/>
        </w:rPr>
        <w:t xml:space="preserve"> 8(4), pp. 369–385. doi: 10.1007/s11292-012-9158-8</w:t>
      </w:r>
    </w:p>
    <w:p w14:paraId="66AEE2D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E41EBE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Kenway, J. and Hickey-Moody, A. (2011). Life Chances, Lifestyle and Everyday Aspirational Strategies and Tactics. </w:t>
      </w:r>
      <w:r w:rsidRPr="0080697E">
        <w:rPr>
          <w:rFonts w:asciiTheme="majorHAnsi" w:hAnsiTheme="majorHAnsi" w:cstheme="minorHAnsi"/>
          <w:i/>
          <w:iCs/>
          <w:noProof/>
        </w:rPr>
        <w:t>Critical Studies in Education</w:t>
      </w:r>
      <w:r w:rsidRPr="0080697E">
        <w:rPr>
          <w:rFonts w:asciiTheme="majorHAnsi" w:hAnsiTheme="majorHAnsi" w:cstheme="minorHAnsi"/>
          <w:iCs/>
          <w:noProof/>
        </w:rPr>
        <w:t>,</w:t>
      </w:r>
      <w:r w:rsidRPr="0080697E">
        <w:rPr>
          <w:rFonts w:asciiTheme="majorHAnsi" w:hAnsiTheme="majorHAnsi" w:cstheme="minorHAnsi"/>
          <w:noProof/>
        </w:rPr>
        <w:t xml:space="preserve"> 52(2), pp. 151–163. doi:10.1080/17508487.2011.572828</w:t>
      </w:r>
    </w:p>
    <w:p w14:paraId="22042941" w14:textId="77777777" w:rsidR="0080697E" w:rsidRPr="0080697E" w:rsidRDefault="0080697E" w:rsidP="0080697E">
      <w:pPr>
        <w:ind w:left="284" w:hanging="284"/>
        <w:rPr>
          <w:rFonts w:asciiTheme="majorHAnsi" w:hAnsiTheme="majorHAnsi" w:cstheme="minorHAnsi"/>
          <w:noProof/>
        </w:rPr>
      </w:pPr>
    </w:p>
    <w:p w14:paraId="14AF73C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Kinnvall, C. (2015). Borders and Fear: Insecurity, Gender and the Far Right in Europe. </w:t>
      </w:r>
      <w:r w:rsidRPr="0080697E">
        <w:rPr>
          <w:rFonts w:asciiTheme="majorHAnsi" w:hAnsiTheme="majorHAnsi" w:cstheme="minorHAnsi"/>
          <w:i/>
          <w:iCs/>
          <w:noProof/>
        </w:rPr>
        <w:t>Journal of Contemporary European Studies</w:t>
      </w:r>
      <w:r w:rsidRPr="0080697E">
        <w:rPr>
          <w:rFonts w:asciiTheme="majorHAnsi" w:hAnsiTheme="majorHAnsi" w:cstheme="minorHAnsi"/>
          <w:iCs/>
          <w:noProof/>
        </w:rPr>
        <w:t>,</w:t>
      </w:r>
      <w:r w:rsidRPr="0080697E">
        <w:rPr>
          <w:rFonts w:asciiTheme="majorHAnsi" w:hAnsiTheme="majorHAnsi" w:cstheme="minorHAnsi"/>
          <w:noProof/>
        </w:rPr>
        <w:t xml:space="preserve"> 23(4), pp. 514–529. doi:10.1080/14782804.2015.1056115.</w:t>
      </w:r>
    </w:p>
    <w:p w14:paraId="29F8CED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4922ECA3"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Knight, A. </w:t>
      </w:r>
      <w:r w:rsidRPr="0080697E">
        <w:rPr>
          <w:rFonts w:asciiTheme="majorHAnsi" w:hAnsiTheme="majorHAnsi" w:cstheme="minorHAnsi"/>
          <w:i/>
          <w:iCs/>
        </w:rPr>
        <w:t>et al</w:t>
      </w:r>
      <w:r w:rsidRPr="0080697E">
        <w:rPr>
          <w:rFonts w:asciiTheme="majorHAnsi" w:hAnsiTheme="majorHAnsi" w:cstheme="minorHAnsi"/>
        </w:rPr>
        <w:t>. (2017). The Quality and Effectiveness of Interventions that Target Multiple</w:t>
      </w:r>
    </w:p>
    <w:p w14:paraId="5BDCF258"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ab/>
        <w:t xml:space="preserve">Risk Factors Among Young People: A Systematic Review. </w:t>
      </w:r>
      <w:r w:rsidRPr="0080697E">
        <w:rPr>
          <w:rFonts w:asciiTheme="majorHAnsi" w:hAnsiTheme="majorHAnsi" w:cstheme="minorHAnsi"/>
          <w:i/>
          <w:iCs/>
        </w:rPr>
        <w:t xml:space="preserve">Australia and New Zealand </w:t>
      </w:r>
      <w:r w:rsidRPr="0080697E">
        <w:rPr>
          <w:rFonts w:asciiTheme="majorHAnsi" w:hAnsiTheme="majorHAnsi" w:cstheme="minorHAnsi"/>
          <w:i/>
          <w:iCs/>
        </w:rPr>
        <w:tab/>
        <w:t>Journal of Public Health</w:t>
      </w:r>
      <w:r w:rsidRPr="0080697E">
        <w:rPr>
          <w:rFonts w:asciiTheme="majorHAnsi" w:hAnsiTheme="majorHAnsi" w:cstheme="minorHAnsi"/>
          <w:iCs/>
        </w:rPr>
        <w:t xml:space="preserve">, 41. </w:t>
      </w:r>
      <w:r w:rsidRPr="0080697E">
        <w:rPr>
          <w:rFonts w:asciiTheme="majorHAnsi" w:hAnsiTheme="majorHAnsi" w:cstheme="minorHAnsi"/>
        </w:rPr>
        <w:t xml:space="preserve">pp.54-60. Retrieved from </w:t>
      </w:r>
      <w:r w:rsidRPr="0080697E">
        <w:rPr>
          <w:rFonts w:asciiTheme="majorHAnsi" w:hAnsiTheme="majorHAnsi" w:cstheme="minorHAnsi"/>
        </w:rPr>
        <w:tab/>
        <w:t>https://onlinelibrary.wiley.com/doi/pdf/10.1111/1753-6405.12573</w:t>
      </w:r>
    </w:p>
    <w:p w14:paraId="4649FE9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FB90B4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Lewis, R., Marine, S. and Kenney, K. (2018). ‘I Get Together With my Friends and Try to Change It'. Young Feminist Students Resist 'Laddism', 'Rape Culture' and 'Everyday Sexism'. </w:t>
      </w:r>
      <w:r w:rsidRPr="0080697E">
        <w:rPr>
          <w:rFonts w:asciiTheme="majorHAnsi" w:hAnsiTheme="majorHAnsi" w:cstheme="minorHAnsi"/>
          <w:i/>
          <w:iCs/>
          <w:noProof/>
        </w:rPr>
        <w:t>Journal of Gender Studies</w:t>
      </w:r>
      <w:r w:rsidRPr="0080697E">
        <w:rPr>
          <w:rFonts w:asciiTheme="majorHAnsi" w:hAnsiTheme="majorHAnsi" w:cstheme="minorHAnsi"/>
          <w:iCs/>
          <w:noProof/>
        </w:rPr>
        <w:t xml:space="preserve">, </w:t>
      </w:r>
      <w:r w:rsidRPr="0080697E">
        <w:rPr>
          <w:rFonts w:asciiTheme="majorHAnsi" w:hAnsiTheme="majorHAnsi" w:cstheme="minorHAnsi"/>
          <w:noProof/>
        </w:rPr>
        <w:t>27(1), pp. 56–72. doi: 10.1080/09589236.2016.1175925</w:t>
      </w:r>
    </w:p>
    <w:p w14:paraId="18F15DA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EA2D3D7"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Lloyd, T, (1997). </w:t>
      </w:r>
      <w:r w:rsidRPr="0080697E">
        <w:rPr>
          <w:rFonts w:asciiTheme="majorHAnsi" w:hAnsiTheme="majorHAnsi" w:cstheme="minorHAnsi"/>
          <w:i/>
          <w:iCs/>
        </w:rPr>
        <w:t>Let’s Get Changed Lads</w:t>
      </w:r>
      <w:r w:rsidRPr="0080697E">
        <w:rPr>
          <w:rFonts w:asciiTheme="majorHAnsi" w:hAnsiTheme="majorHAnsi" w:cstheme="minorHAnsi"/>
          <w:i/>
        </w:rPr>
        <w:t>: Developing Work With Boys and Young Men.</w:t>
      </w:r>
    </w:p>
    <w:p w14:paraId="47A5C8D4"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t xml:space="preserve">     London: Working with Young Men</w:t>
      </w:r>
    </w:p>
    <w:p w14:paraId="3E16523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95DFD92"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Lundgren, R. and Amin, A. (2015). Addressing Intimate Partner Violence and Sexual Violence Among Adolescents: Emerging Evidence of Effectiveness. </w:t>
      </w:r>
      <w:r w:rsidRPr="0080697E">
        <w:rPr>
          <w:rFonts w:asciiTheme="majorHAnsi" w:hAnsiTheme="majorHAnsi" w:cstheme="minorHAnsi"/>
          <w:i/>
          <w:iCs/>
          <w:noProof/>
        </w:rPr>
        <w:t>Journal of Adolescent Health</w:t>
      </w:r>
      <w:r w:rsidRPr="0080697E">
        <w:rPr>
          <w:rFonts w:asciiTheme="majorHAnsi" w:hAnsiTheme="majorHAnsi" w:cstheme="minorHAnsi"/>
          <w:noProof/>
        </w:rPr>
        <w:t>, 56(1), pp. S42–S50. doi: 10.1016/j.jadohealth.2014.08.012</w:t>
      </w:r>
    </w:p>
    <w:p w14:paraId="25D5BD3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947097B" w14:textId="77777777" w:rsid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p>
    <w:p w14:paraId="13C854C7" w14:textId="39053ECD" w:rsidR="0080697E" w:rsidRPr="0080697E" w:rsidRDefault="0080697E" w:rsidP="0080697E">
      <w:pPr>
        <w:widowControl w:val="0"/>
        <w:autoSpaceDE w:val="0"/>
        <w:autoSpaceDN w:val="0"/>
        <w:adjustRightInd w:val="0"/>
        <w:ind w:left="284" w:hanging="284"/>
        <w:rPr>
          <w:rFonts w:asciiTheme="majorHAnsi" w:hAnsiTheme="majorHAnsi" w:cstheme="minorHAnsi"/>
          <w:shd w:val="clear" w:color="auto" w:fill="FFFFFF"/>
        </w:rPr>
      </w:pPr>
      <w:r w:rsidRPr="0080697E">
        <w:rPr>
          <w:rFonts w:asciiTheme="majorHAnsi" w:hAnsiTheme="majorHAnsi" w:cstheme="minorHAnsi"/>
          <w:shd w:val="clear" w:color="auto" w:fill="FFFFFF"/>
        </w:rPr>
        <w:t>MacLure, M., Jones, L., Holmes, R. and MacRae, C., 2012. Becoming a Problem: Behaviour and Reputation in the Early Years Classroom. </w:t>
      </w:r>
      <w:r w:rsidRPr="0080697E">
        <w:rPr>
          <w:rFonts w:asciiTheme="majorHAnsi" w:hAnsiTheme="majorHAnsi" w:cstheme="minorHAnsi"/>
          <w:i/>
          <w:iCs/>
          <w:shd w:val="clear" w:color="auto" w:fill="FFFFFF"/>
        </w:rPr>
        <w:t>British Educational Research Journal</w:t>
      </w:r>
      <w:r w:rsidRPr="0080697E">
        <w:rPr>
          <w:rFonts w:asciiTheme="majorHAnsi" w:hAnsiTheme="majorHAnsi" w:cstheme="minorHAnsi"/>
          <w:i/>
          <w:shd w:val="clear" w:color="auto" w:fill="FFFFFF"/>
        </w:rPr>
        <w:t>,</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38</w:t>
      </w:r>
      <w:r w:rsidRPr="0080697E">
        <w:rPr>
          <w:rFonts w:asciiTheme="majorHAnsi" w:hAnsiTheme="majorHAnsi" w:cstheme="minorHAnsi"/>
          <w:shd w:val="clear" w:color="auto" w:fill="FFFFFF"/>
        </w:rPr>
        <w:t>(3), pp.447-471</w:t>
      </w:r>
    </w:p>
    <w:p w14:paraId="07690474"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2DC856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Marsh, P., Brennan, S. and Vandenberg, M. (2018). 'It’s Not Therapy, It’s Gardening': Community Gardens as Sites of Comprehensive Primary Healthcare. </w:t>
      </w:r>
      <w:r w:rsidRPr="0080697E">
        <w:rPr>
          <w:rFonts w:asciiTheme="majorHAnsi" w:hAnsiTheme="majorHAnsi" w:cstheme="minorHAnsi"/>
          <w:i/>
          <w:iCs/>
          <w:noProof/>
        </w:rPr>
        <w:t>Australian Journal of Primary Health</w:t>
      </w:r>
      <w:r w:rsidRPr="0080697E">
        <w:rPr>
          <w:rFonts w:asciiTheme="majorHAnsi" w:hAnsiTheme="majorHAnsi" w:cstheme="minorHAnsi"/>
          <w:iCs/>
          <w:noProof/>
        </w:rPr>
        <w:t xml:space="preserve">, </w:t>
      </w:r>
      <w:r w:rsidRPr="0080697E">
        <w:rPr>
          <w:rFonts w:asciiTheme="majorHAnsi" w:hAnsiTheme="majorHAnsi" w:cstheme="minorHAnsi"/>
          <w:noProof/>
        </w:rPr>
        <w:t>24(4), p. 337. doi: 10.1071/py17149</w:t>
      </w:r>
    </w:p>
    <w:p w14:paraId="40F74B5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A11160D" w14:textId="77777777" w:rsidR="0080697E" w:rsidRPr="0080697E" w:rsidRDefault="0080697E" w:rsidP="0080697E">
      <w:pPr>
        <w:pStyle w:val="NormalWeb"/>
        <w:ind w:left="480" w:hanging="480"/>
        <w:contextualSpacing/>
        <w:rPr>
          <w:rFonts w:asciiTheme="majorHAnsi" w:hAnsiTheme="majorHAnsi" w:cstheme="minorHAnsi"/>
        </w:rPr>
      </w:pPr>
      <w:r w:rsidRPr="0080697E">
        <w:rPr>
          <w:rFonts w:asciiTheme="majorHAnsi" w:hAnsiTheme="majorHAnsi" w:cstheme="minorHAnsi"/>
        </w:rPr>
        <w:t xml:space="preserve">McCormack, M. (2011). Hierarchy Without Hegemony: Locating Boys in an Inclusive School Setting. </w:t>
      </w:r>
      <w:r w:rsidRPr="0080697E">
        <w:rPr>
          <w:rFonts w:asciiTheme="majorHAnsi" w:hAnsiTheme="majorHAnsi" w:cstheme="minorHAnsi"/>
          <w:i/>
          <w:iCs/>
        </w:rPr>
        <w:t>Sociological Perspectives</w:t>
      </w:r>
      <w:r w:rsidRPr="0080697E">
        <w:rPr>
          <w:rFonts w:asciiTheme="majorHAnsi" w:hAnsiTheme="majorHAnsi" w:cstheme="minorHAnsi"/>
        </w:rPr>
        <w:t xml:space="preserve">, </w:t>
      </w:r>
      <w:r w:rsidRPr="0080697E">
        <w:rPr>
          <w:rFonts w:asciiTheme="majorHAnsi" w:hAnsiTheme="majorHAnsi" w:cstheme="minorHAnsi"/>
          <w:iCs/>
        </w:rPr>
        <w:t>54</w:t>
      </w:r>
      <w:r w:rsidRPr="0080697E">
        <w:rPr>
          <w:rFonts w:asciiTheme="majorHAnsi" w:hAnsiTheme="majorHAnsi" w:cstheme="minorHAnsi"/>
        </w:rPr>
        <w:t>, pp. 83–102. doi:10.1525/sop.2011.54.1.83</w:t>
      </w:r>
    </w:p>
    <w:p w14:paraId="2C87D05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1501E0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McKendrick, D. and Finch, J. (2017). ‘Under Heavy Manners?': Social Work, Radicalisation, Troubled Families and Non-Linear War. </w:t>
      </w:r>
      <w:r w:rsidRPr="0080697E">
        <w:rPr>
          <w:rFonts w:asciiTheme="majorHAnsi" w:hAnsiTheme="majorHAnsi" w:cstheme="minorHAnsi"/>
          <w:i/>
          <w:iCs/>
          <w:noProof/>
        </w:rPr>
        <w:t>British Journal of Social Work</w:t>
      </w:r>
      <w:r w:rsidRPr="0080697E">
        <w:rPr>
          <w:rFonts w:asciiTheme="majorHAnsi" w:hAnsiTheme="majorHAnsi" w:cstheme="minorHAnsi"/>
          <w:iCs/>
          <w:noProof/>
        </w:rPr>
        <w:t>,</w:t>
      </w:r>
      <w:r w:rsidRPr="0080697E">
        <w:rPr>
          <w:rFonts w:asciiTheme="majorHAnsi" w:hAnsiTheme="majorHAnsi" w:cstheme="minorHAnsi"/>
          <w:noProof/>
        </w:rPr>
        <w:t xml:space="preserve"> 47(2), pp. 308–324. doi: 10.1093/bjsw/bcv141</w:t>
      </w:r>
    </w:p>
    <w:p w14:paraId="299CC185" w14:textId="77777777" w:rsidR="0080697E" w:rsidRPr="0080697E" w:rsidRDefault="0080697E" w:rsidP="0080697E">
      <w:pPr>
        <w:rPr>
          <w:rStyle w:val="author"/>
          <w:rFonts w:asciiTheme="majorHAnsi" w:hAnsiTheme="majorHAnsi" w:cstheme="minorHAnsi"/>
        </w:rPr>
      </w:pPr>
    </w:p>
    <w:p w14:paraId="7DB8D02C" w14:textId="77777777" w:rsidR="0080697E" w:rsidRPr="0080697E" w:rsidRDefault="0080697E" w:rsidP="0080697E">
      <w:pPr>
        <w:rPr>
          <w:rStyle w:val="articletitle"/>
          <w:rFonts w:asciiTheme="majorHAnsi" w:hAnsiTheme="majorHAnsi" w:cstheme="minorHAnsi"/>
        </w:rPr>
      </w:pPr>
      <w:r w:rsidRPr="0080697E">
        <w:rPr>
          <w:rStyle w:val="author"/>
          <w:rFonts w:asciiTheme="majorHAnsi" w:hAnsiTheme="majorHAnsi" w:cstheme="minorHAnsi"/>
        </w:rPr>
        <w:t>Merkel‐Holguin, L</w:t>
      </w:r>
      <w:r w:rsidRPr="0080697E">
        <w:rPr>
          <w:rFonts w:asciiTheme="majorHAnsi" w:hAnsiTheme="majorHAnsi" w:cstheme="minorHAnsi"/>
          <w:shd w:val="clear" w:color="auto" w:fill="FFFFFF"/>
        </w:rPr>
        <w:t>,</w:t>
      </w:r>
      <w:r w:rsidRPr="0080697E">
        <w:rPr>
          <w:rStyle w:val="apple-converted-space"/>
          <w:rFonts w:asciiTheme="majorHAnsi" w:hAnsiTheme="majorHAnsi" w:cstheme="minorHAnsi"/>
          <w:shd w:val="clear" w:color="auto" w:fill="FFFFFF"/>
        </w:rPr>
        <w:t> </w:t>
      </w:r>
      <w:r w:rsidRPr="0080697E">
        <w:rPr>
          <w:rStyle w:val="author"/>
          <w:rFonts w:asciiTheme="majorHAnsi" w:hAnsiTheme="majorHAnsi" w:cstheme="minorHAnsi"/>
          <w:i/>
          <w:iCs/>
        </w:rPr>
        <w:t>et al</w:t>
      </w:r>
      <w:r w:rsidRPr="0080697E">
        <w:rPr>
          <w:rStyle w:val="author"/>
          <w:rFonts w:asciiTheme="majorHAnsi" w:hAnsiTheme="majorHAnsi" w:cstheme="minorHAnsi"/>
        </w:rPr>
        <w:t>., (2020)</w:t>
      </w:r>
      <w:r w:rsidRPr="0080697E">
        <w:rPr>
          <w:rStyle w:val="apple-converted-space"/>
          <w:rFonts w:asciiTheme="majorHAnsi" w:hAnsiTheme="majorHAnsi" w:cstheme="minorHAnsi"/>
          <w:shd w:val="clear" w:color="auto" w:fill="FFFFFF"/>
        </w:rPr>
        <w:t>. '</w:t>
      </w:r>
      <w:r w:rsidRPr="0080697E">
        <w:rPr>
          <w:rStyle w:val="articletitle"/>
          <w:rFonts w:asciiTheme="majorHAnsi" w:hAnsiTheme="majorHAnsi" w:cstheme="minorHAnsi"/>
        </w:rPr>
        <w:t>Nothing About Me Without Me': Children and Young</w:t>
      </w:r>
    </w:p>
    <w:p w14:paraId="3617256A" w14:textId="77777777" w:rsidR="0080697E" w:rsidRPr="0080697E" w:rsidRDefault="0080697E" w:rsidP="0080697E">
      <w:pPr>
        <w:rPr>
          <w:rStyle w:val="Hyperlink"/>
          <w:rFonts w:asciiTheme="majorHAnsi" w:hAnsiTheme="majorHAnsi" w:cstheme="minorHAnsi"/>
        </w:rPr>
      </w:pPr>
      <w:r w:rsidRPr="0080697E">
        <w:rPr>
          <w:rStyle w:val="articletitle"/>
          <w:rFonts w:asciiTheme="majorHAnsi" w:hAnsiTheme="majorHAnsi" w:cstheme="minorHAnsi"/>
        </w:rPr>
        <w:tab/>
        <w:t>People's Experiences with Family Group Conferences.</w:t>
      </w:r>
      <w:r w:rsidRPr="0080697E">
        <w:rPr>
          <w:rStyle w:val="apple-converted-space"/>
          <w:rFonts w:asciiTheme="majorHAnsi" w:hAnsiTheme="majorHAnsi" w:cstheme="minorHAnsi"/>
          <w:shd w:val="clear" w:color="auto" w:fill="FFFFFF"/>
        </w:rPr>
        <w:t> </w:t>
      </w:r>
      <w:r w:rsidRPr="0080697E">
        <w:rPr>
          <w:rFonts w:asciiTheme="majorHAnsi" w:hAnsiTheme="majorHAnsi" w:cstheme="minorHAnsi"/>
          <w:i/>
          <w:iCs/>
        </w:rPr>
        <w:t>Child &amp; Family Social Work</w:t>
      </w:r>
      <w:r w:rsidRPr="0080697E">
        <w:rPr>
          <w:rFonts w:asciiTheme="majorHAnsi" w:hAnsiTheme="majorHAnsi" w:cstheme="minorHAnsi"/>
          <w:i/>
          <w:shd w:val="clear" w:color="auto" w:fill="FFFFFF"/>
        </w:rPr>
        <w:t xml:space="preserve">, </w:t>
      </w:r>
      <w:r w:rsidRPr="0080697E">
        <w:rPr>
          <w:rFonts w:asciiTheme="majorHAnsi" w:hAnsiTheme="majorHAnsi" w:cstheme="minorHAnsi"/>
          <w:i/>
          <w:shd w:val="clear" w:color="auto" w:fill="FFFFFF"/>
        </w:rPr>
        <w:tab/>
      </w:r>
      <w:r w:rsidRPr="0080697E">
        <w:rPr>
          <w:rStyle w:val="vol"/>
          <w:rFonts w:asciiTheme="majorHAnsi" w:hAnsiTheme="majorHAnsi" w:cstheme="minorHAnsi"/>
          <w:i/>
        </w:rPr>
        <w:t>25</w:t>
      </w:r>
      <w:r w:rsidRPr="0080697E">
        <w:rPr>
          <w:rStyle w:val="vol"/>
          <w:rFonts w:asciiTheme="majorHAnsi" w:hAnsiTheme="majorHAnsi" w:cstheme="minorHAnsi"/>
        </w:rPr>
        <w:t xml:space="preserve">, </w:t>
      </w:r>
      <w:r w:rsidRPr="0080697E">
        <w:rPr>
          <w:rFonts w:asciiTheme="majorHAnsi" w:hAnsiTheme="majorHAnsi" w:cstheme="minorHAnsi"/>
          <w:shd w:val="clear" w:color="auto" w:fill="FFFFFF"/>
        </w:rPr>
        <w:t xml:space="preserve">pp. </w:t>
      </w:r>
      <w:r w:rsidRPr="0080697E">
        <w:rPr>
          <w:rStyle w:val="pagefirst"/>
          <w:rFonts w:asciiTheme="majorHAnsi" w:hAnsiTheme="majorHAnsi" w:cstheme="minorHAnsi"/>
        </w:rPr>
        <w:t>27</w:t>
      </w:r>
      <w:r w:rsidRPr="0080697E">
        <w:rPr>
          <w:rFonts w:asciiTheme="majorHAnsi" w:hAnsiTheme="majorHAnsi" w:cstheme="minorHAnsi"/>
          <w:shd w:val="clear" w:color="auto" w:fill="FFFFFF"/>
        </w:rPr>
        <w:t>–</w:t>
      </w:r>
      <w:r w:rsidRPr="0080697E">
        <w:rPr>
          <w:rStyle w:val="apple-converted-space"/>
          <w:rFonts w:asciiTheme="majorHAnsi" w:hAnsiTheme="majorHAnsi" w:cstheme="minorHAnsi"/>
          <w:shd w:val="clear" w:color="auto" w:fill="FFFFFF"/>
        </w:rPr>
        <w:t> </w:t>
      </w:r>
      <w:r w:rsidRPr="0080697E">
        <w:rPr>
          <w:rStyle w:val="pagelast"/>
          <w:rFonts w:asciiTheme="majorHAnsi" w:hAnsiTheme="majorHAnsi" w:cstheme="minorHAnsi"/>
        </w:rPr>
        <w:t>36</w:t>
      </w:r>
      <w:r w:rsidRPr="0080697E">
        <w:rPr>
          <w:rFonts w:asciiTheme="majorHAnsi" w:hAnsiTheme="majorHAnsi" w:cstheme="minorHAnsi"/>
          <w:shd w:val="clear" w:color="auto" w:fill="FFFFFF"/>
        </w:rPr>
        <w:t>.</w:t>
      </w:r>
      <w:r w:rsidRPr="0080697E">
        <w:rPr>
          <w:rStyle w:val="apple-converted-space"/>
          <w:rFonts w:asciiTheme="majorHAnsi" w:hAnsiTheme="majorHAnsi" w:cstheme="minorHAnsi"/>
          <w:shd w:val="clear" w:color="auto" w:fill="FFFFFF"/>
        </w:rPr>
        <w:t> </w:t>
      </w:r>
      <w:hyperlink r:id="rId24" w:history="1">
        <w:r w:rsidRPr="0080697E">
          <w:rPr>
            <w:rStyle w:val="Hyperlink"/>
            <w:rFonts w:asciiTheme="majorHAnsi" w:hAnsiTheme="majorHAnsi" w:cstheme="minorHAnsi"/>
          </w:rPr>
          <w:t>https://doi.org/10.1111/cfs.12648</w:t>
        </w:r>
      </w:hyperlink>
    </w:p>
    <w:p w14:paraId="3103300C" w14:textId="77777777" w:rsidR="0080697E" w:rsidRPr="0080697E" w:rsidRDefault="0080697E" w:rsidP="0080697E">
      <w:pPr>
        <w:ind w:left="220"/>
        <w:rPr>
          <w:rFonts w:asciiTheme="majorHAnsi" w:hAnsiTheme="majorHAnsi" w:cstheme="minorHAnsi"/>
        </w:rPr>
      </w:pPr>
    </w:p>
    <w:p w14:paraId="6256FC59" w14:textId="77777777" w:rsidR="0080697E" w:rsidRPr="0080697E" w:rsidRDefault="0080697E" w:rsidP="0080697E">
      <w:pPr>
        <w:rPr>
          <w:rFonts w:asciiTheme="majorHAnsi" w:hAnsiTheme="majorHAnsi" w:cstheme="minorHAnsi"/>
          <w:i/>
          <w:iCs/>
        </w:rPr>
      </w:pPr>
      <w:r w:rsidRPr="0080697E">
        <w:rPr>
          <w:rFonts w:asciiTheme="majorHAnsi" w:hAnsiTheme="majorHAnsi" w:cstheme="minorHAnsi"/>
        </w:rPr>
        <w:t>Messerschmidt, J. W. (2014).</w:t>
      </w:r>
      <w:r w:rsidRPr="0080697E">
        <w:rPr>
          <w:rFonts w:asciiTheme="majorHAnsi" w:hAnsiTheme="majorHAnsi" w:cstheme="minorHAnsi"/>
          <w:i/>
        </w:rPr>
        <w:t xml:space="preserve"> </w:t>
      </w:r>
      <w:r w:rsidRPr="0080697E">
        <w:rPr>
          <w:rFonts w:asciiTheme="majorHAnsi" w:hAnsiTheme="majorHAnsi" w:cstheme="minorHAnsi"/>
          <w:i/>
          <w:iCs/>
        </w:rPr>
        <w:t xml:space="preserve">Crime as Structured Action: Doing Masculinities, Race, Class, </w:t>
      </w:r>
    </w:p>
    <w:p w14:paraId="3E1BC0D1" w14:textId="77777777" w:rsidR="0080697E" w:rsidRPr="0080697E" w:rsidRDefault="0080697E" w:rsidP="0080697E">
      <w:pPr>
        <w:ind w:firstLine="284"/>
        <w:rPr>
          <w:rFonts w:asciiTheme="majorHAnsi" w:hAnsiTheme="majorHAnsi" w:cstheme="minorHAnsi"/>
        </w:rPr>
      </w:pPr>
      <w:r w:rsidRPr="0080697E">
        <w:rPr>
          <w:rFonts w:asciiTheme="majorHAnsi" w:hAnsiTheme="majorHAnsi" w:cstheme="minorHAnsi"/>
          <w:i/>
          <w:iCs/>
        </w:rPr>
        <w:t>Sexuality, and Crime</w:t>
      </w:r>
      <w:r w:rsidRPr="0080697E">
        <w:rPr>
          <w:rFonts w:asciiTheme="majorHAnsi" w:hAnsiTheme="majorHAnsi" w:cstheme="minorHAnsi"/>
        </w:rPr>
        <w:t>. Plymouth: Rowman &amp; Littlefield</w:t>
      </w:r>
    </w:p>
    <w:p w14:paraId="49C0EDA3" w14:textId="77777777" w:rsidR="0080697E" w:rsidRPr="0080697E" w:rsidRDefault="0080697E" w:rsidP="0080697E">
      <w:pPr>
        <w:ind w:firstLine="284"/>
        <w:rPr>
          <w:rFonts w:asciiTheme="majorHAnsi" w:hAnsiTheme="majorHAnsi" w:cstheme="minorHAnsi"/>
          <w:iCs/>
        </w:rPr>
      </w:pPr>
    </w:p>
    <w:p w14:paraId="09696CA5" w14:textId="77777777" w:rsidR="0080697E" w:rsidRPr="0080697E" w:rsidRDefault="0080697E" w:rsidP="0080697E">
      <w:pPr>
        <w:ind w:left="482" w:hanging="482"/>
        <w:contextualSpacing/>
        <w:rPr>
          <w:rFonts w:asciiTheme="majorHAnsi" w:hAnsiTheme="majorHAnsi" w:cstheme="minorHAnsi"/>
        </w:rPr>
      </w:pPr>
      <w:r w:rsidRPr="0080697E">
        <w:rPr>
          <w:rFonts w:asciiTheme="majorHAnsi" w:hAnsiTheme="majorHAnsi" w:cstheme="minorHAnsi"/>
        </w:rPr>
        <w:t xml:space="preserve">Meyer, I. H. (1995). Minority Stress and Mental Health in Gay Men. </w:t>
      </w:r>
      <w:r w:rsidRPr="0080697E">
        <w:rPr>
          <w:rFonts w:asciiTheme="majorHAnsi" w:hAnsiTheme="majorHAnsi" w:cstheme="minorHAnsi"/>
          <w:i/>
        </w:rPr>
        <w:t>Journal of Health and Social Behavior</w:t>
      </w:r>
      <w:r w:rsidRPr="0080697E">
        <w:rPr>
          <w:rFonts w:asciiTheme="majorHAnsi" w:hAnsiTheme="majorHAnsi" w:cstheme="minorHAnsi"/>
        </w:rPr>
        <w:t>, 36, pp. 38–56</w:t>
      </w:r>
    </w:p>
    <w:p w14:paraId="2C79B508"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5422CB7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Miller, T. and Nash, M. (2017). ‘I Just Think Something Like the "Bubs and Pubs" Class is What Men Should be Having': Paternal Subjectivities and Preparing for First-Time Fatherhood in Australia and the United Kingdom. </w:t>
      </w:r>
      <w:r w:rsidRPr="0080697E">
        <w:rPr>
          <w:rFonts w:asciiTheme="majorHAnsi" w:hAnsiTheme="majorHAnsi" w:cstheme="minorHAnsi"/>
          <w:i/>
          <w:iCs/>
          <w:noProof/>
        </w:rPr>
        <w:t>Journal of Sociology</w:t>
      </w:r>
      <w:r w:rsidRPr="0080697E">
        <w:rPr>
          <w:rFonts w:asciiTheme="majorHAnsi" w:hAnsiTheme="majorHAnsi" w:cstheme="minorHAnsi"/>
          <w:iCs/>
          <w:noProof/>
        </w:rPr>
        <w:t>,</w:t>
      </w:r>
      <w:r w:rsidRPr="0080697E">
        <w:rPr>
          <w:rFonts w:asciiTheme="majorHAnsi" w:hAnsiTheme="majorHAnsi" w:cstheme="minorHAnsi"/>
          <w:noProof/>
        </w:rPr>
        <w:t xml:space="preserve"> 53(3), pp. 541–556. doi:10.1177/1440783316667638</w:t>
      </w:r>
    </w:p>
    <w:p w14:paraId="55E5ADF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74EB21E"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Ministry of Justice. (2014). </w:t>
      </w:r>
      <w:r w:rsidRPr="0080697E">
        <w:rPr>
          <w:rStyle w:val="Emphasis"/>
          <w:rFonts w:asciiTheme="majorHAnsi" w:hAnsiTheme="majorHAnsi" w:cstheme="minorHAnsi"/>
          <w:shd w:val="clear" w:color="auto" w:fill="FFFFFF"/>
        </w:rPr>
        <w:t>Transforming Rehabilitation: A Summary of Evidence on Reducing Reoffending</w:t>
      </w:r>
      <w:r w:rsidRPr="0080697E">
        <w:rPr>
          <w:rFonts w:asciiTheme="majorHAnsi" w:hAnsiTheme="majorHAnsi" w:cstheme="minorHAnsi"/>
          <w:shd w:val="clear" w:color="auto" w:fill="FFFFFF"/>
        </w:rPr>
        <w:t>. Retrieved from https://www.gov.uk/government/publications/transforming-rehabilitation-a-summary-of-evidence-on-reducing-reoffendin</w:t>
      </w:r>
    </w:p>
    <w:p w14:paraId="5114123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A0CE39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Ministry of Justice. (2019). </w:t>
      </w:r>
      <w:r w:rsidRPr="0080697E">
        <w:rPr>
          <w:rFonts w:asciiTheme="majorHAnsi" w:hAnsiTheme="majorHAnsi" w:cstheme="minorHAnsi"/>
          <w:i/>
          <w:iCs/>
          <w:noProof/>
        </w:rPr>
        <w:t>Youth Justice Statistics: 2017-2018</w:t>
      </w:r>
      <w:r w:rsidRPr="0080697E">
        <w:rPr>
          <w:rFonts w:asciiTheme="majorHAnsi" w:hAnsiTheme="majorHAnsi" w:cstheme="minorHAnsi"/>
          <w:iCs/>
          <w:noProof/>
        </w:rPr>
        <w:t xml:space="preserve">. </w:t>
      </w:r>
      <w:r w:rsidRPr="0080697E">
        <w:rPr>
          <w:rFonts w:asciiTheme="majorHAnsi" w:hAnsiTheme="majorHAnsi" w:cstheme="minorHAnsi"/>
          <w:noProof/>
        </w:rPr>
        <w:t xml:space="preserve">Retrieved from: </w:t>
      </w:r>
      <w:hyperlink r:id="rId25" w:history="1">
        <w:r w:rsidRPr="0080697E">
          <w:rPr>
            <w:rStyle w:val="Hyperlink"/>
            <w:rFonts w:asciiTheme="majorHAnsi" w:hAnsiTheme="majorHAnsi" w:cstheme="minorHAnsi"/>
            <w:noProof/>
          </w:rPr>
          <w:t>https://www.gov.uk/government/statistics/youth-justice-statistics-2017-to-2018</w:t>
        </w:r>
      </w:hyperlink>
    </w:p>
    <w:p w14:paraId="2B82DBA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630CB4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Moffitt, T. E. (1993). Adolescence limited and life course persistent antisocial behaviour: A </w:t>
      </w:r>
      <w:r w:rsidRPr="0080697E">
        <w:rPr>
          <w:rFonts w:asciiTheme="majorHAnsi" w:hAnsiTheme="majorHAnsi" w:cstheme="minorHAnsi"/>
          <w:noProof/>
        </w:rPr>
        <w:lastRenderedPageBreak/>
        <w:t xml:space="preserve">developmental taxonomy. </w:t>
      </w:r>
      <w:r w:rsidRPr="0080697E">
        <w:rPr>
          <w:rFonts w:asciiTheme="majorHAnsi" w:hAnsiTheme="majorHAnsi" w:cstheme="minorHAnsi"/>
          <w:i/>
          <w:iCs/>
          <w:noProof/>
        </w:rPr>
        <w:t>Psychological Review</w:t>
      </w:r>
      <w:r w:rsidRPr="0080697E">
        <w:rPr>
          <w:rFonts w:asciiTheme="majorHAnsi" w:hAnsiTheme="majorHAnsi" w:cstheme="minorHAnsi"/>
          <w:iCs/>
          <w:noProof/>
        </w:rPr>
        <w:t>, 100</w:t>
      </w:r>
      <w:r w:rsidRPr="0080697E">
        <w:rPr>
          <w:rFonts w:asciiTheme="majorHAnsi" w:hAnsiTheme="majorHAnsi" w:cstheme="minorHAnsi"/>
          <w:noProof/>
        </w:rPr>
        <w:t xml:space="preserve">, pp. 674–701 </w:t>
      </w:r>
    </w:p>
    <w:p w14:paraId="28F2BB62"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030B639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Morrison, P. K. </w:t>
      </w:r>
      <w:r w:rsidRPr="0080697E">
        <w:rPr>
          <w:rFonts w:asciiTheme="majorHAnsi" w:hAnsiTheme="majorHAnsi" w:cstheme="minorHAnsi"/>
          <w:i/>
          <w:iCs/>
          <w:noProof/>
        </w:rPr>
        <w:t>et al</w:t>
      </w:r>
      <w:r w:rsidRPr="0080697E">
        <w:rPr>
          <w:rFonts w:asciiTheme="majorHAnsi" w:hAnsiTheme="majorHAnsi" w:cstheme="minorHAnsi"/>
          <w:noProof/>
        </w:rPr>
        <w:t xml:space="preserve">. (2018). Adult Male Perpetrators’ Perspectives on What Prevention Approaches Work Best for Young Boys at Risk of Future Intimate Partner Violence Perpetration. </w:t>
      </w:r>
      <w:r w:rsidRPr="0080697E">
        <w:rPr>
          <w:rFonts w:asciiTheme="majorHAnsi" w:hAnsiTheme="majorHAnsi" w:cstheme="minorHAnsi"/>
          <w:i/>
          <w:iCs/>
          <w:noProof/>
        </w:rPr>
        <w:t>Journal of Aggression, Maltreatment and Trauma</w:t>
      </w:r>
      <w:r w:rsidRPr="0080697E">
        <w:rPr>
          <w:rFonts w:asciiTheme="majorHAnsi" w:hAnsiTheme="majorHAnsi" w:cstheme="minorHAnsi"/>
          <w:noProof/>
        </w:rPr>
        <w:t>, 27(2), 179–198. doi: 10.1080/10926771.2017.1320346</w:t>
      </w:r>
    </w:p>
    <w:p w14:paraId="66F93CA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2998D0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Moulding, N. (2018). Becoming a Better Man. </w:t>
      </w:r>
      <w:r w:rsidRPr="0080697E">
        <w:rPr>
          <w:rFonts w:asciiTheme="majorHAnsi" w:hAnsiTheme="majorHAnsi" w:cstheme="minorHAnsi"/>
          <w:i/>
          <w:iCs/>
          <w:noProof/>
        </w:rPr>
        <w:t>Affilia: Journal of Women &amp; Social Work</w:t>
      </w:r>
      <w:r w:rsidRPr="0080697E">
        <w:rPr>
          <w:rFonts w:asciiTheme="majorHAnsi" w:hAnsiTheme="majorHAnsi" w:cstheme="minorHAnsi"/>
          <w:iCs/>
          <w:noProof/>
        </w:rPr>
        <w:t>,</w:t>
      </w:r>
      <w:r w:rsidRPr="0080697E">
        <w:rPr>
          <w:rFonts w:asciiTheme="majorHAnsi" w:hAnsiTheme="majorHAnsi" w:cstheme="minorHAnsi"/>
          <w:noProof/>
        </w:rPr>
        <w:t xml:space="preserve"> 33(1), pp. 39–55. doi: 10.1177/0886109917729665</w:t>
      </w:r>
    </w:p>
    <w:p w14:paraId="57C2DC7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98FB1AB"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Mutchler, M. G. (2002). Will It Be Silence and Violence or Safety and Prevention for the Next Generation of Gay Youth? </w:t>
      </w:r>
      <w:r w:rsidRPr="0080697E">
        <w:rPr>
          <w:rFonts w:asciiTheme="majorHAnsi" w:hAnsiTheme="majorHAnsi" w:cstheme="minorHAnsi"/>
          <w:i/>
          <w:iCs/>
          <w:noProof/>
        </w:rPr>
        <w:t>International Journal of Sexuality and Gender Studies</w:t>
      </w:r>
      <w:r w:rsidRPr="0080697E">
        <w:rPr>
          <w:rFonts w:asciiTheme="majorHAnsi" w:hAnsiTheme="majorHAnsi" w:cstheme="minorHAnsi"/>
          <w:iCs/>
          <w:noProof/>
        </w:rPr>
        <w:t>,</w:t>
      </w:r>
      <w:r w:rsidRPr="0080697E">
        <w:rPr>
          <w:rFonts w:asciiTheme="majorHAnsi" w:hAnsiTheme="majorHAnsi" w:cstheme="minorHAnsi"/>
          <w:noProof/>
        </w:rPr>
        <w:t xml:space="preserve"> 7(1), pp. 23–38. doi:10.1023/a:1013055318185.</w:t>
      </w:r>
    </w:p>
    <w:p w14:paraId="489FDD1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7F096E4" w14:textId="43D145C6" w:rsid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Nayak, A. and Kehily, M. J. (2014). ‘Chavs, Chavettes and Pramface Girls': Teenage Mothers, Marginalised Young Men and the Management of Stigma. </w:t>
      </w:r>
      <w:r w:rsidRPr="0080697E">
        <w:rPr>
          <w:rFonts w:asciiTheme="majorHAnsi" w:hAnsiTheme="majorHAnsi" w:cstheme="minorHAnsi"/>
          <w:i/>
          <w:iCs/>
          <w:noProof/>
        </w:rPr>
        <w:t>Journal of Youth Studies</w:t>
      </w:r>
      <w:r w:rsidRPr="0080697E">
        <w:rPr>
          <w:rFonts w:asciiTheme="majorHAnsi" w:hAnsiTheme="majorHAnsi" w:cstheme="minorHAnsi"/>
          <w:noProof/>
        </w:rPr>
        <w:t>, 17(10), pp. 1330–1345. doi: 10.1080/13676261.2014.920489</w:t>
      </w:r>
    </w:p>
    <w:p w14:paraId="4E6E9A97" w14:textId="2E0B55A6" w:rsidR="0080697E" w:rsidRDefault="0080697E" w:rsidP="0080697E">
      <w:pPr>
        <w:widowControl w:val="0"/>
        <w:autoSpaceDE w:val="0"/>
        <w:autoSpaceDN w:val="0"/>
        <w:adjustRightInd w:val="0"/>
        <w:ind w:left="284" w:hanging="284"/>
        <w:rPr>
          <w:rFonts w:asciiTheme="majorHAnsi" w:hAnsiTheme="majorHAnsi" w:cstheme="minorHAnsi"/>
          <w:noProof/>
        </w:rPr>
      </w:pPr>
    </w:p>
    <w:p w14:paraId="03E19D52" w14:textId="710B00BF"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Pr>
          <w:rFonts w:asciiTheme="majorHAnsi" w:hAnsiTheme="majorHAnsi" w:cstheme="minorHAnsi"/>
          <w:noProof/>
        </w:rPr>
        <w:t xml:space="preserve">Office for National Statistics (2020) Leading Cases of Death, UK: 2011 to 2018, available at: </w:t>
      </w:r>
      <w:r w:rsidRPr="0080697E">
        <w:rPr>
          <w:rFonts w:asciiTheme="majorHAnsi" w:hAnsiTheme="majorHAnsi" w:cstheme="minorHAnsi"/>
          <w:noProof/>
        </w:rPr>
        <w:t>https://www.ons.gov.uk/peoplepopulationandcommunity/healthandsocialcare/causesofdeath/articles/leadingcausesofdeathuk/2001to2018</w:t>
      </w:r>
    </w:p>
    <w:p w14:paraId="23D967C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66EBA3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Pascoe, L. </w:t>
      </w:r>
      <w:r w:rsidRPr="0080697E">
        <w:rPr>
          <w:rFonts w:asciiTheme="majorHAnsi" w:hAnsiTheme="majorHAnsi" w:cstheme="minorHAnsi"/>
          <w:i/>
          <w:iCs/>
          <w:noProof/>
        </w:rPr>
        <w:t>et al</w:t>
      </w:r>
      <w:r w:rsidRPr="0080697E">
        <w:rPr>
          <w:rFonts w:asciiTheme="majorHAnsi" w:hAnsiTheme="majorHAnsi" w:cstheme="minorHAnsi"/>
          <w:noProof/>
        </w:rPr>
        <w:t xml:space="preserve">. (2012). </w:t>
      </w:r>
      <w:r w:rsidRPr="0080697E">
        <w:rPr>
          <w:rFonts w:asciiTheme="majorHAnsi" w:hAnsiTheme="majorHAnsi" w:cstheme="minorHAnsi"/>
          <w:i/>
          <w:noProof/>
        </w:rPr>
        <w:t>Building Male Involvement in SRHR: A Basic Model for Male Involvement in Sexual and Reproductive Health and Rights</w:t>
      </w:r>
      <w:r w:rsidRPr="0080697E">
        <w:rPr>
          <w:rFonts w:asciiTheme="majorHAnsi" w:hAnsiTheme="majorHAnsi" w:cstheme="minorHAnsi"/>
          <w:noProof/>
        </w:rPr>
        <w:t xml:space="preserve">. </w:t>
      </w:r>
      <w:r w:rsidRPr="0080697E">
        <w:rPr>
          <w:rFonts w:asciiTheme="majorHAnsi" w:hAnsiTheme="majorHAnsi" w:cstheme="minorHAnsi"/>
          <w:iCs/>
          <w:shd w:val="clear" w:color="auto" w:fill="FFFFFF"/>
        </w:rPr>
        <w:t>Cape Town: Sonke Gender Justice Network. Retrieved from http://menengage.org/wp-content/uploads/2014/01/Sonke-Gender-Justice-Model-for-Male-Involvement-in-SRHR.pdf</w:t>
      </w:r>
    </w:p>
    <w:p w14:paraId="40EAE56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E6EE82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Pearson, J., Thrane, L. and Wilkinson, L. (2017). Consequences of Runaway and Thrownaway Experiences for Sexual Minority Health During the Transition to Adulthood.</w:t>
      </w:r>
      <w:r w:rsidRPr="0080697E">
        <w:rPr>
          <w:rFonts w:asciiTheme="majorHAnsi" w:hAnsiTheme="majorHAnsi" w:cstheme="minorHAnsi"/>
          <w:i/>
          <w:noProof/>
        </w:rPr>
        <w:t xml:space="preserve"> </w:t>
      </w:r>
      <w:r w:rsidRPr="0080697E">
        <w:rPr>
          <w:rFonts w:asciiTheme="majorHAnsi" w:hAnsiTheme="majorHAnsi" w:cstheme="minorHAnsi"/>
          <w:i/>
          <w:iCs/>
          <w:noProof/>
        </w:rPr>
        <w:t>Journal of LGBT Youth</w:t>
      </w:r>
      <w:r w:rsidRPr="0080697E">
        <w:rPr>
          <w:rFonts w:asciiTheme="majorHAnsi" w:hAnsiTheme="majorHAnsi" w:cstheme="minorHAnsi"/>
          <w:iCs/>
          <w:noProof/>
        </w:rPr>
        <w:t>,</w:t>
      </w:r>
      <w:r w:rsidRPr="0080697E">
        <w:rPr>
          <w:rFonts w:asciiTheme="majorHAnsi" w:hAnsiTheme="majorHAnsi" w:cstheme="minorHAnsi"/>
          <w:noProof/>
        </w:rPr>
        <w:t xml:space="preserve"> 14(2), pp. 145–171. doi: 10.1080/19361653.2016.1264909</w:t>
      </w:r>
    </w:p>
    <w:p w14:paraId="4FCCC3D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D81ADE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Pirkis, J. </w:t>
      </w:r>
      <w:r w:rsidRPr="0080697E">
        <w:rPr>
          <w:rFonts w:asciiTheme="majorHAnsi" w:hAnsiTheme="majorHAnsi" w:cstheme="minorHAnsi"/>
          <w:i/>
          <w:iCs/>
          <w:noProof/>
        </w:rPr>
        <w:t>et al</w:t>
      </w:r>
      <w:r w:rsidRPr="0080697E">
        <w:rPr>
          <w:rFonts w:asciiTheme="majorHAnsi" w:hAnsiTheme="majorHAnsi" w:cstheme="minorHAnsi"/>
          <w:noProof/>
        </w:rPr>
        <w:t xml:space="preserve">. (2017). Masculinity and Suicidal Thinking. </w:t>
      </w:r>
      <w:r w:rsidRPr="0080697E">
        <w:rPr>
          <w:rFonts w:asciiTheme="majorHAnsi" w:hAnsiTheme="majorHAnsi" w:cstheme="minorHAnsi"/>
          <w:i/>
          <w:noProof/>
        </w:rPr>
        <w:t>Social Psychiatry and Psychiatric Epidemiology</w:t>
      </w:r>
      <w:r w:rsidRPr="0080697E">
        <w:rPr>
          <w:rFonts w:asciiTheme="majorHAnsi" w:hAnsiTheme="majorHAnsi" w:cstheme="minorHAnsi"/>
          <w:noProof/>
        </w:rPr>
        <w:t>, 52(3), pp. 319–327. doi: 10.1007/s00127-016-1324-2</w:t>
      </w:r>
    </w:p>
    <w:p w14:paraId="72F9437E"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F9F2B3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shd w:val="clear" w:color="auto" w:fill="FFFFFF"/>
        </w:rPr>
        <w:t>Preston, P. and Goodfellow, M., (2006). Cohort Comparisons: Social Learning Explanations for Alcohol Use Among Adolescents and Older Adults. </w:t>
      </w:r>
      <w:r w:rsidRPr="0080697E">
        <w:rPr>
          <w:rFonts w:asciiTheme="majorHAnsi" w:hAnsiTheme="majorHAnsi" w:cstheme="minorHAnsi"/>
          <w:i/>
          <w:iCs/>
          <w:shd w:val="clear" w:color="auto" w:fill="FFFFFF"/>
        </w:rPr>
        <w:t>Addictive Behaviors</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31</w:t>
      </w:r>
      <w:r w:rsidRPr="0080697E">
        <w:rPr>
          <w:rFonts w:asciiTheme="majorHAnsi" w:hAnsiTheme="majorHAnsi" w:cstheme="minorHAnsi"/>
          <w:shd w:val="clear" w:color="auto" w:fill="FFFFFF"/>
        </w:rPr>
        <w:t>(12), pp.2268-2283</w:t>
      </w:r>
    </w:p>
    <w:p w14:paraId="7848B85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8D59F27"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Price, M. and Ginn, S. (2008). </w:t>
      </w:r>
      <w:r w:rsidRPr="0080697E">
        <w:rPr>
          <w:rFonts w:asciiTheme="majorHAnsi" w:hAnsiTheme="majorHAnsi" w:cstheme="minorHAnsi"/>
          <w:i/>
          <w:iCs/>
          <w:noProof/>
        </w:rPr>
        <w:t>Targeted Youth Support Interventions,</w:t>
      </w:r>
      <w:r w:rsidRPr="0080697E">
        <w:rPr>
          <w:rFonts w:asciiTheme="majorHAnsi" w:hAnsiTheme="majorHAnsi" w:cstheme="minorHAnsi"/>
          <w:i/>
          <w:noProof/>
        </w:rPr>
        <w:t xml:space="preserve"> Brighton</w:t>
      </w:r>
      <w:r w:rsidRPr="0080697E">
        <w:rPr>
          <w:rFonts w:asciiTheme="majorHAnsi" w:hAnsiTheme="majorHAnsi" w:cstheme="minorHAnsi"/>
          <w:noProof/>
        </w:rPr>
        <w:t>: University of Brighton School of Education</w:t>
      </w:r>
    </w:p>
    <w:p w14:paraId="56476D37"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0D35ACD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shd w:val="clear" w:color="auto" w:fill="FFFFFF"/>
        </w:rPr>
        <w:lastRenderedPageBreak/>
        <w:t>Prochaska, J.O. and DiClemente, C.C., (1983). Stages and Processes of Self-Change of Smoking: Toward an Integrative Model of Change. </w:t>
      </w:r>
      <w:r w:rsidRPr="0080697E">
        <w:rPr>
          <w:rFonts w:asciiTheme="majorHAnsi" w:hAnsiTheme="majorHAnsi" w:cstheme="minorHAnsi"/>
          <w:i/>
          <w:iCs/>
          <w:shd w:val="clear" w:color="auto" w:fill="FFFFFF"/>
        </w:rPr>
        <w:t>Journal of Consulting and Clinical Psychology</w:t>
      </w:r>
      <w:r w:rsidRPr="0080697E">
        <w:rPr>
          <w:rFonts w:asciiTheme="majorHAnsi" w:hAnsiTheme="majorHAnsi" w:cstheme="minorHAnsi"/>
          <w:shd w:val="clear" w:color="auto" w:fill="FFFFFF"/>
        </w:rPr>
        <w:t>, </w:t>
      </w:r>
      <w:r w:rsidRPr="0080697E">
        <w:rPr>
          <w:rFonts w:asciiTheme="majorHAnsi" w:hAnsiTheme="majorHAnsi" w:cstheme="minorHAnsi"/>
          <w:iCs/>
          <w:shd w:val="clear" w:color="auto" w:fill="FFFFFF"/>
        </w:rPr>
        <w:t>51</w:t>
      </w:r>
      <w:r w:rsidRPr="0080697E">
        <w:rPr>
          <w:rFonts w:asciiTheme="majorHAnsi" w:hAnsiTheme="majorHAnsi" w:cstheme="minorHAnsi"/>
          <w:shd w:val="clear" w:color="auto" w:fill="FFFFFF"/>
        </w:rPr>
        <w:t xml:space="preserve">(3), pp. 390-395 </w:t>
      </w:r>
    </w:p>
    <w:p w14:paraId="5F34E0D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09C40B4" w14:textId="77777777" w:rsidR="0080697E" w:rsidRDefault="0080697E" w:rsidP="0080697E">
      <w:pPr>
        <w:widowControl w:val="0"/>
        <w:autoSpaceDE w:val="0"/>
        <w:autoSpaceDN w:val="0"/>
        <w:adjustRightInd w:val="0"/>
        <w:ind w:left="284" w:hanging="284"/>
        <w:rPr>
          <w:rFonts w:asciiTheme="majorHAnsi" w:hAnsiTheme="majorHAnsi" w:cstheme="minorHAnsi"/>
          <w:noProof/>
        </w:rPr>
      </w:pPr>
    </w:p>
    <w:p w14:paraId="0C3A3958" w14:textId="77777777" w:rsidR="0080697E" w:rsidRDefault="0080697E" w:rsidP="0080697E">
      <w:pPr>
        <w:widowControl w:val="0"/>
        <w:autoSpaceDE w:val="0"/>
        <w:autoSpaceDN w:val="0"/>
        <w:adjustRightInd w:val="0"/>
        <w:ind w:left="284" w:hanging="284"/>
        <w:rPr>
          <w:rFonts w:asciiTheme="majorHAnsi" w:hAnsiTheme="majorHAnsi" w:cstheme="minorHAnsi"/>
          <w:noProof/>
        </w:rPr>
      </w:pPr>
    </w:p>
    <w:p w14:paraId="0AA17F8E" w14:textId="57A91291"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Public Health England (2019). </w:t>
      </w:r>
      <w:r w:rsidRPr="0080697E">
        <w:rPr>
          <w:rFonts w:asciiTheme="majorHAnsi" w:hAnsiTheme="majorHAnsi" w:cstheme="minorHAnsi"/>
          <w:i/>
          <w:iCs/>
          <w:noProof/>
        </w:rPr>
        <w:t>Young People's Substance Misuse Treatment Statistics 2018 to 2019: Report</w:t>
      </w:r>
      <w:r w:rsidRPr="0080697E">
        <w:rPr>
          <w:rFonts w:asciiTheme="majorHAnsi" w:hAnsiTheme="majorHAnsi" w:cstheme="minorHAnsi"/>
          <w:iCs/>
          <w:noProof/>
        </w:rPr>
        <w:t>.</w:t>
      </w:r>
      <w:r w:rsidRPr="0080697E">
        <w:rPr>
          <w:rFonts w:asciiTheme="majorHAnsi" w:hAnsiTheme="majorHAnsi" w:cstheme="minorHAnsi"/>
          <w:noProof/>
        </w:rPr>
        <w:t xml:space="preserve"> Retrieved from: &lt;https://www.gov.uk/government/publications/substance-misuse-treatment-for-young-people-statistics-2018-to-2019/young-peoples-substance-misuse-treatment-statistics-2018-to-2019-report&gt;</w:t>
      </w:r>
    </w:p>
    <w:p w14:paraId="70A724F4"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7419196"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Rashid, H. M. (2009). From Brilliant Baby to Child Placed At Risk: The Perilous Path of African American Boys in Early Childhood Education. </w:t>
      </w:r>
      <w:r w:rsidRPr="0080697E">
        <w:rPr>
          <w:rFonts w:asciiTheme="majorHAnsi" w:hAnsiTheme="majorHAnsi" w:cstheme="minorHAnsi"/>
          <w:i/>
          <w:iCs/>
          <w:noProof/>
        </w:rPr>
        <w:t>The Journal of Negro Education</w:t>
      </w:r>
      <w:r w:rsidRPr="0080697E">
        <w:rPr>
          <w:rFonts w:asciiTheme="majorHAnsi" w:hAnsiTheme="majorHAnsi" w:cstheme="minorHAnsi"/>
          <w:iCs/>
          <w:noProof/>
        </w:rPr>
        <w:t xml:space="preserve">, </w:t>
      </w:r>
      <w:r w:rsidRPr="0080697E">
        <w:rPr>
          <w:rFonts w:asciiTheme="majorHAnsi" w:hAnsiTheme="majorHAnsi" w:cstheme="minorHAnsi"/>
          <w:noProof/>
        </w:rPr>
        <w:t>78(783), pp. 347–358. doi:10.2307/25608751</w:t>
      </w:r>
    </w:p>
    <w:p w14:paraId="097B0588" w14:textId="77777777" w:rsidR="0080697E" w:rsidRPr="0080697E" w:rsidRDefault="0080697E" w:rsidP="0080697E">
      <w:pPr>
        <w:rPr>
          <w:rFonts w:asciiTheme="majorHAnsi" w:hAnsiTheme="majorHAnsi" w:cstheme="minorHAnsi"/>
          <w:noProof/>
        </w:rPr>
      </w:pPr>
    </w:p>
    <w:p w14:paraId="4F8FE44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Reay, D. (2010). Shaun's Story: Troubling Discourses of White Working-Class Masculinities. </w:t>
      </w:r>
      <w:r w:rsidRPr="0080697E">
        <w:rPr>
          <w:rFonts w:asciiTheme="majorHAnsi" w:hAnsiTheme="majorHAnsi" w:cstheme="minorHAnsi"/>
          <w:i/>
          <w:iCs/>
          <w:noProof/>
        </w:rPr>
        <w:t>Gender and Education</w:t>
      </w:r>
      <w:r w:rsidRPr="0080697E">
        <w:rPr>
          <w:rFonts w:asciiTheme="majorHAnsi" w:hAnsiTheme="majorHAnsi" w:cstheme="minorHAnsi"/>
          <w:iCs/>
          <w:noProof/>
        </w:rPr>
        <w:t>,</w:t>
      </w:r>
      <w:r w:rsidRPr="0080697E">
        <w:rPr>
          <w:rFonts w:asciiTheme="majorHAnsi" w:hAnsiTheme="majorHAnsi" w:cstheme="minorHAnsi"/>
          <w:noProof/>
        </w:rPr>
        <w:t xml:space="preserve"> 14(3), pp. 37–41. doi: 10.1080/095402502200001069</w:t>
      </w:r>
    </w:p>
    <w:p w14:paraId="5E36837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C5F359D"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Regan, D. and Morrison, T. G. (2013). Adolescents’ Negative Attitudes Towards Non-Drinkers: A Novel Predictor of Risky Drinking. </w:t>
      </w:r>
      <w:r w:rsidRPr="0080697E">
        <w:rPr>
          <w:rFonts w:asciiTheme="majorHAnsi" w:hAnsiTheme="majorHAnsi" w:cstheme="minorHAnsi"/>
          <w:i/>
          <w:iCs/>
          <w:noProof/>
        </w:rPr>
        <w:t>Journal of Health Psychology</w:t>
      </w:r>
      <w:r w:rsidRPr="0080697E">
        <w:rPr>
          <w:rFonts w:asciiTheme="majorHAnsi" w:hAnsiTheme="majorHAnsi" w:cstheme="minorHAnsi"/>
          <w:iCs/>
          <w:noProof/>
        </w:rPr>
        <w:t>,</w:t>
      </w:r>
      <w:r w:rsidRPr="0080697E">
        <w:rPr>
          <w:rFonts w:asciiTheme="majorHAnsi" w:hAnsiTheme="majorHAnsi" w:cstheme="minorHAnsi"/>
          <w:noProof/>
        </w:rPr>
        <w:t xml:space="preserve"> 18(11), pp. 1465–1477. doi:10.1177/1359105312464676</w:t>
      </w:r>
    </w:p>
    <w:p w14:paraId="1B98B4C2"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4C5B3F88"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Rogers, L. (2016). </w:t>
      </w:r>
      <w:r w:rsidRPr="0080697E">
        <w:rPr>
          <w:rFonts w:asciiTheme="majorHAnsi" w:hAnsiTheme="majorHAnsi" w:cstheme="minorHAnsi"/>
          <w:i/>
          <w:noProof/>
        </w:rPr>
        <w:t>Serious Case Review: Child E. Brighton and Hove Local Safeguarding Children Board</w:t>
      </w:r>
      <w:r w:rsidRPr="0080697E">
        <w:rPr>
          <w:rFonts w:asciiTheme="majorHAnsi" w:hAnsiTheme="majorHAnsi" w:cstheme="minorHAnsi"/>
          <w:noProof/>
        </w:rPr>
        <w:t>. Retrieved from https://www.bhscp.org.uk/wp-content/uploads/sites/3/2019/11/Child-E-Full-Report.pdf</w:t>
      </w:r>
    </w:p>
    <w:p w14:paraId="63A12211"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7A4C1F7"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Smith, F. (2017). </w:t>
      </w:r>
      <w:r w:rsidRPr="0080697E">
        <w:rPr>
          <w:rFonts w:asciiTheme="majorHAnsi" w:hAnsiTheme="majorHAnsi" w:cstheme="minorHAnsi"/>
          <w:i/>
          <w:noProof/>
        </w:rPr>
        <w:t>Serious Case Review - Child A</w:t>
      </w:r>
      <w:r w:rsidRPr="0080697E">
        <w:rPr>
          <w:rFonts w:asciiTheme="majorHAnsi" w:hAnsiTheme="majorHAnsi" w:cstheme="minorHAnsi"/>
          <w:noProof/>
        </w:rPr>
        <w:t>. Brighton and Hove Local Safeguarding Children Board. Retrieved from https://www.bhscp.org.uk/wp-content/uploads/sites/3/2019/11/Child-A-Full-Report.pdf</w:t>
      </w:r>
    </w:p>
    <w:p w14:paraId="46B1E7C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3215052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Staniloiu, A. and Markowitsch, H. (2012). Gender Differences in Violence and Aggression - A Neurobiological Perspective.</w:t>
      </w:r>
      <w:r w:rsidRPr="0080697E">
        <w:rPr>
          <w:rFonts w:asciiTheme="majorHAnsi" w:hAnsiTheme="majorHAnsi" w:cstheme="minorHAnsi"/>
          <w:i/>
          <w:noProof/>
        </w:rPr>
        <w:t xml:space="preserve"> </w:t>
      </w:r>
      <w:r w:rsidRPr="0080697E">
        <w:rPr>
          <w:rFonts w:asciiTheme="majorHAnsi" w:hAnsiTheme="majorHAnsi" w:cstheme="minorHAnsi"/>
          <w:i/>
          <w:iCs/>
          <w:noProof/>
        </w:rPr>
        <w:t>Social and Behavioral Sciences</w:t>
      </w:r>
      <w:r w:rsidRPr="0080697E">
        <w:rPr>
          <w:rFonts w:asciiTheme="majorHAnsi" w:hAnsiTheme="majorHAnsi" w:cstheme="minorHAnsi"/>
          <w:iCs/>
          <w:noProof/>
        </w:rPr>
        <w:t xml:space="preserve">, </w:t>
      </w:r>
      <w:r w:rsidRPr="0080697E">
        <w:rPr>
          <w:rFonts w:asciiTheme="majorHAnsi" w:hAnsiTheme="majorHAnsi" w:cstheme="minorHAnsi"/>
          <w:noProof/>
        </w:rPr>
        <w:t>33, pp. 1032–1036. doi:10.1016/j.sbspro.2012.01.279</w:t>
      </w:r>
    </w:p>
    <w:p w14:paraId="6B7440F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5EC8D8E"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Sturge, G. (2018). </w:t>
      </w:r>
      <w:r w:rsidRPr="0080697E">
        <w:rPr>
          <w:rFonts w:asciiTheme="majorHAnsi" w:hAnsiTheme="majorHAnsi" w:cstheme="minorHAnsi"/>
          <w:i/>
          <w:noProof/>
        </w:rPr>
        <w:t>UK Prison Population Statistics 2017</w:t>
      </w:r>
      <w:r w:rsidRPr="0080697E">
        <w:rPr>
          <w:rFonts w:asciiTheme="majorHAnsi" w:hAnsiTheme="majorHAnsi" w:cstheme="minorHAnsi"/>
          <w:noProof/>
        </w:rPr>
        <w:t>. Ministry of Justice. Retrieved from https://assets.publishing.service.gov.uk/government/uploads/system/uploads/attachment_data/file/663390/noms-offender-equalities-annual-report-2016-2017.pdf</w:t>
      </w:r>
    </w:p>
    <w:p w14:paraId="3EFF745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691F6C8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Sussex Police &amp; Crime Commissioner (2020). </w:t>
      </w:r>
      <w:r w:rsidRPr="0080697E">
        <w:rPr>
          <w:rFonts w:asciiTheme="majorHAnsi" w:hAnsiTheme="majorHAnsi" w:cstheme="minorHAnsi"/>
          <w:i/>
          <w:iCs/>
          <w:noProof/>
        </w:rPr>
        <w:t>REBOOT Impact Report: Year One 2019/20</w:t>
      </w:r>
      <w:r w:rsidRPr="0080697E">
        <w:rPr>
          <w:rFonts w:asciiTheme="majorHAnsi" w:hAnsiTheme="majorHAnsi" w:cstheme="minorHAnsi"/>
          <w:i/>
          <w:noProof/>
        </w:rPr>
        <w:t xml:space="preserve"> </w:t>
      </w:r>
      <w:r w:rsidRPr="0080697E">
        <w:rPr>
          <w:rFonts w:asciiTheme="majorHAnsi" w:hAnsiTheme="majorHAnsi" w:cstheme="minorHAnsi"/>
          <w:noProof/>
        </w:rPr>
        <w:t>Retrieved from: https://www.sussex-pcc.gov.uk/media/5007/reboot-impact-report-19-20-</w:t>
      </w:r>
      <w:r w:rsidRPr="0080697E">
        <w:rPr>
          <w:rFonts w:asciiTheme="majorHAnsi" w:hAnsiTheme="majorHAnsi" w:cstheme="minorHAnsi"/>
          <w:noProof/>
        </w:rPr>
        <w:lastRenderedPageBreak/>
        <w:t>final-v2.pdf</w:t>
      </w:r>
    </w:p>
    <w:p w14:paraId="7593239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28CA8DE3"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r w:rsidRPr="0080697E">
        <w:rPr>
          <w:rFonts w:asciiTheme="majorHAnsi" w:hAnsiTheme="majorHAnsi" w:cstheme="minorHAnsi"/>
          <w:noProof/>
        </w:rPr>
        <w:t xml:space="preserve">Sveticic, J. and Wallwork, G. (2018). </w:t>
      </w:r>
      <w:r w:rsidRPr="0080697E">
        <w:rPr>
          <w:rFonts w:asciiTheme="majorHAnsi" w:hAnsiTheme="majorHAnsi" w:cstheme="minorHAnsi"/>
          <w:i/>
          <w:iCs/>
          <w:noProof/>
        </w:rPr>
        <w:t>Suicide Prevention in Young Men - Literature Review of Evidence-Based Research on Services Provided by Wesley Mission</w:t>
      </w:r>
    </w:p>
    <w:p w14:paraId="7DB21281"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p>
    <w:p w14:paraId="337CE549" w14:textId="77777777" w:rsidR="0080697E" w:rsidRPr="0080697E" w:rsidRDefault="0080697E" w:rsidP="0080697E">
      <w:pPr>
        <w:pStyle w:val="NormalWeb"/>
        <w:ind w:left="480" w:hanging="480"/>
        <w:contextualSpacing/>
        <w:rPr>
          <w:rFonts w:asciiTheme="majorHAnsi" w:hAnsiTheme="majorHAnsi" w:cstheme="minorHAnsi"/>
        </w:rPr>
      </w:pPr>
      <w:r w:rsidRPr="0080697E">
        <w:rPr>
          <w:rFonts w:asciiTheme="majorHAnsi" w:hAnsiTheme="majorHAnsi" w:cstheme="minorHAnsi"/>
        </w:rPr>
        <w:t xml:space="preserve">Swain, J. (2006). Reflections on Patterns of Masculinity in School Settings. </w:t>
      </w:r>
      <w:r w:rsidRPr="0080697E">
        <w:rPr>
          <w:rFonts w:asciiTheme="majorHAnsi" w:hAnsiTheme="majorHAnsi" w:cstheme="minorHAnsi"/>
          <w:i/>
          <w:iCs/>
        </w:rPr>
        <w:t>Men and Masculinities</w:t>
      </w:r>
      <w:r w:rsidRPr="0080697E">
        <w:rPr>
          <w:rFonts w:asciiTheme="majorHAnsi" w:hAnsiTheme="majorHAnsi" w:cstheme="minorHAnsi"/>
        </w:rPr>
        <w:t xml:space="preserve">, </w:t>
      </w:r>
      <w:r w:rsidRPr="0080697E">
        <w:rPr>
          <w:rFonts w:asciiTheme="majorHAnsi" w:hAnsiTheme="majorHAnsi" w:cstheme="minorHAnsi"/>
          <w:iCs/>
        </w:rPr>
        <w:t>8</w:t>
      </w:r>
      <w:r w:rsidRPr="0080697E">
        <w:rPr>
          <w:rFonts w:asciiTheme="majorHAnsi" w:hAnsiTheme="majorHAnsi" w:cstheme="minorHAnsi"/>
        </w:rPr>
        <w:t>, 331–349. doi:10.1177/1097184X05282203</w:t>
      </w:r>
    </w:p>
    <w:p w14:paraId="5974F643" w14:textId="77777777" w:rsidR="0080697E" w:rsidRPr="0080697E" w:rsidRDefault="0080697E" w:rsidP="0080697E">
      <w:pPr>
        <w:widowControl w:val="0"/>
        <w:autoSpaceDE w:val="0"/>
        <w:autoSpaceDN w:val="0"/>
        <w:adjustRightInd w:val="0"/>
        <w:ind w:left="284" w:hanging="284"/>
        <w:rPr>
          <w:rFonts w:asciiTheme="majorHAnsi" w:hAnsiTheme="majorHAnsi" w:cstheme="minorHAnsi"/>
          <w:iCs/>
          <w:noProof/>
        </w:rPr>
      </w:pPr>
    </w:p>
    <w:p w14:paraId="771852E3"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Swann, C. </w:t>
      </w:r>
      <w:r w:rsidRPr="0080697E">
        <w:rPr>
          <w:rFonts w:asciiTheme="majorHAnsi" w:hAnsiTheme="majorHAnsi" w:cstheme="minorHAnsi"/>
          <w:i/>
          <w:iCs/>
          <w:noProof/>
        </w:rPr>
        <w:t>et al</w:t>
      </w:r>
      <w:r w:rsidRPr="0080697E">
        <w:rPr>
          <w:rFonts w:asciiTheme="majorHAnsi" w:hAnsiTheme="majorHAnsi" w:cstheme="minorHAnsi"/>
          <w:noProof/>
        </w:rPr>
        <w:t xml:space="preserve">. (2018). Youth Sport as a Context for Supporting Mental Health: Adolescent Male Perspectives. </w:t>
      </w:r>
      <w:r w:rsidRPr="0080697E">
        <w:rPr>
          <w:rFonts w:asciiTheme="majorHAnsi" w:hAnsiTheme="majorHAnsi" w:cstheme="minorHAnsi"/>
          <w:i/>
          <w:iCs/>
          <w:noProof/>
        </w:rPr>
        <w:t>Psychology of Sport and Exercise</w:t>
      </w:r>
      <w:r w:rsidRPr="0080697E">
        <w:rPr>
          <w:rFonts w:asciiTheme="majorHAnsi" w:hAnsiTheme="majorHAnsi" w:cstheme="minorHAnsi"/>
          <w:iCs/>
          <w:noProof/>
        </w:rPr>
        <w:t>,</w:t>
      </w:r>
      <w:r w:rsidRPr="0080697E">
        <w:rPr>
          <w:rFonts w:asciiTheme="majorHAnsi" w:hAnsiTheme="majorHAnsi" w:cstheme="minorHAnsi"/>
          <w:noProof/>
        </w:rPr>
        <w:t xml:space="preserve"> 35, pp. 55–64. doi:10.1016/j.psychsport.2017.11.008.</w:t>
      </w:r>
    </w:p>
    <w:p w14:paraId="7B30B38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1664B6B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Swift, K. D., Sayal, K. and Hollis, C. (2014). ADHD and Transitions to Adult Mental Health Services: A Scoping Review. </w:t>
      </w:r>
      <w:r w:rsidRPr="0080697E">
        <w:rPr>
          <w:rFonts w:asciiTheme="majorHAnsi" w:hAnsiTheme="majorHAnsi" w:cstheme="minorHAnsi"/>
          <w:i/>
          <w:iCs/>
          <w:noProof/>
        </w:rPr>
        <w:t>Child Care, Health and Development</w:t>
      </w:r>
      <w:r w:rsidRPr="0080697E">
        <w:rPr>
          <w:rFonts w:asciiTheme="majorHAnsi" w:hAnsiTheme="majorHAnsi" w:cstheme="minorHAnsi"/>
          <w:iCs/>
          <w:noProof/>
        </w:rPr>
        <w:t>,</w:t>
      </w:r>
      <w:r w:rsidRPr="0080697E">
        <w:rPr>
          <w:rFonts w:asciiTheme="majorHAnsi" w:hAnsiTheme="majorHAnsi" w:cstheme="minorHAnsi"/>
          <w:noProof/>
        </w:rPr>
        <w:t xml:space="preserve"> 40(6), pp. 775–786. doi:10.1111/cch.12107</w:t>
      </w:r>
    </w:p>
    <w:p w14:paraId="30C133AA"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EE7BD4C" w14:textId="77777777" w:rsidR="0080697E" w:rsidRPr="0080697E" w:rsidRDefault="0080697E" w:rsidP="0080697E">
      <w:pPr>
        <w:ind w:left="284" w:hanging="284"/>
        <w:rPr>
          <w:rFonts w:asciiTheme="majorHAnsi" w:hAnsiTheme="majorHAnsi" w:cstheme="minorHAnsi"/>
        </w:rPr>
      </w:pPr>
      <w:r w:rsidRPr="0080697E">
        <w:rPr>
          <w:rFonts w:asciiTheme="majorHAnsi" w:eastAsia="Arial" w:hAnsiTheme="majorHAnsi" w:cstheme="minorHAnsi"/>
        </w:rPr>
        <w:t xml:space="preserve">Temple, A. (2020). </w:t>
      </w:r>
      <w:r w:rsidRPr="0080697E">
        <w:rPr>
          <w:rFonts w:asciiTheme="majorHAnsi" w:eastAsia="Arial" w:hAnsiTheme="majorHAnsi" w:cstheme="minorHAnsi"/>
          <w:i/>
          <w:iCs/>
        </w:rPr>
        <w:t>Excluded, Exploited, Forgotten: Childhood Criminal Exploitation and School Exclusions</w:t>
      </w:r>
      <w:r w:rsidRPr="0080697E">
        <w:rPr>
          <w:rFonts w:asciiTheme="majorHAnsi" w:eastAsia="Arial" w:hAnsiTheme="majorHAnsi" w:cstheme="minorHAnsi"/>
        </w:rPr>
        <w:t xml:space="preserve">. Retrieved from: </w:t>
      </w:r>
      <w:hyperlink r:id="rId26" w:history="1">
        <w:r w:rsidRPr="0080697E">
          <w:rPr>
            <w:rStyle w:val="Hyperlink"/>
            <w:rFonts w:asciiTheme="majorHAnsi" w:eastAsia="Arial" w:hAnsiTheme="majorHAnsi" w:cstheme="minorHAnsi"/>
          </w:rPr>
          <w:t>http://www.crae.org.uk/media/129536/JfKL-school-exclusion-and-CCE.pdf</w:t>
        </w:r>
      </w:hyperlink>
    </w:p>
    <w:p w14:paraId="1B5603D3" w14:textId="77777777" w:rsidR="0080697E" w:rsidRPr="0080697E" w:rsidRDefault="0080697E" w:rsidP="0080697E">
      <w:pPr>
        <w:ind w:left="360" w:hanging="360"/>
        <w:rPr>
          <w:rFonts w:asciiTheme="majorHAnsi" w:eastAsia="Arial" w:hAnsiTheme="majorHAnsi" w:cstheme="minorHAnsi"/>
        </w:rPr>
      </w:pPr>
    </w:p>
    <w:p w14:paraId="4DDD68D4" w14:textId="77777777" w:rsidR="0080697E" w:rsidRPr="0080697E" w:rsidRDefault="0080697E" w:rsidP="0080697E">
      <w:pPr>
        <w:rPr>
          <w:rFonts w:asciiTheme="majorHAnsi" w:hAnsiTheme="majorHAnsi" w:cstheme="minorHAnsi"/>
          <w:iCs/>
        </w:rPr>
      </w:pPr>
      <w:r w:rsidRPr="0080697E">
        <w:rPr>
          <w:rFonts w:asciiTheme="majorHAnsi" w:hAnsiTheme="majorHAnsi" w:cstheme="minorHAnsi"/>
        </w:rPr>
        <w:t xml:space="preserve">Thomas J, </w:t>
      </w:r>
      <w:r w:rsidRPr="0080697E">
        <w:rPr>
          <w:rFonts w:asciiTheme="majorHAnsi" w:hAnsiTheme="majorHAnsi" w:cstheme="minorHAnsi"/>
          <w:i/>
          <w:iCs/>
        </w:rPr>
        <w:t>et al</w:t>
      </w:r>
      <w:r w:rsidRPr="0080697E">
        <w:rPr>
          <w:rFonts w:asciiTheme="majorHAnsi" w:hAnsiTheme="majorHAnsi" w:cstheme="minorHAnsi"/>
        </w:rPr>
        <w:t xml:space="preserve">. (2008). </w:t>
      </w:r>
      <w:r w:rsidRPr="0080697E">
        <w:rPr>
          <w:rFonts w:asciiTheme="majorHAnsi" w:hAnsiTheme="majorHAnsi" w:cstheme="minorHAnsi"/>
          <w:i/>
          <w:iCs/>
        </w:rPr>
        <w:t xml:space="preserve">Targeted Youth Support: Rapid Evidence Assessment of Effective </w:t>
      </w:r>
      <w:r w:rsidRPr="0080697E">
        <w:rPr>
          <w:rFonts w:asciiTheme="majorHAnsi" w:hAnsiTheme="majorHAnsi" w:cstheme="minorHAnsi"/>
          <w:i/>
          <w:iCs/>
        </w:rPr>
        <w:tab/>
        <w:t>Early Interventions for Youth at Risk of Future Poor Outcomes</w:t>
      </w:r>
      <w:r w:rsidRPr="0080697E">
        <w:rPr>
          <w:rFonts w:asciiTheme="majorHAnsi" w:hAnsiTheme="majorHAnsi" w:cstheme="minorHAnsi"/>
        </w:rPr>
        <w:t xml:space="preserve">. London: EPPI-Centre, </w:t>
      </w:r>
      <w:r w:rsidRPr="0080697E">
        <w:rPr>
          <w:rFonts w:asciiTheme="majorHAnsi" w:hAnsiTheme="majorHAnsi" w:cstheme="minorHAnsi"/>
        </w:rPr>
        <w:tab/>
        <w:t>Social Science Research Unit, Institute of Education, University of London</w:t>
      </w:r>
    </w:p>
    <w:p w14:paraId="420B692D" w14:textId="77777777" w:rsidR="0080697E" w:rsidRPr="0080697E" w:rsidRDefault="0080697E" w:rsidP="0080697E">
      <w:pPr>
        <w:ind w:left="284" w:firstLine="36"/>
        <w:rPr>
          <w:rFonts w:asciiTheme="majorHAnsi" w:hAnsiTheme="majorHAnsi" w:cstheme="minorHAnsi"/>
        </w:rPr>
      </w:pPr>
    </w:p>
    <w:p w14:paraId="4ACECD39" w14:textId="77777777" w:rsidR="0080697E" w:rsidRPr="0080697E" w:rsidRDefault="0080697E" w:rsidP="0080697E">
      <w:pPr>
        <w:ind w:left="360" w:hanging="360"/>
        <w:rPr>
          <w:rFonts w:asciiTheme="majorHAnsi" w:eastAsia="Arial" w:hAnsiTheme="majorHAnsi" w:cstheme="minorHAnsi"/>
        </w:rPr>
      </w:pPr>
      <w:r w:rsidRPr="0080697E">
        <w:rPr>
          <w:rFonts w:asciiTheme="majorHAnsi" w:eastAsia="Arial" w:hAnsiTheme="majorHAnsi" w:cstheme="minorHAnsi"/>
        </w:rPr>
        <w:t xml:space="preserve">Thompson, N. (2019) ‘It’s a No-Win Scenario, either the Police or the Gang Will Get You’: Young People and Organised Crime – Vulnerable or Criminal? </w:t>
      </w:r>
      <w:r w:rsidRPr="0080697E">
        <w:rPr>
          <w:rFonts w:asciiTheme="majorHAnsi" w:eastAsia="Arial" w:hAnsiTheme="majorHAnsi" w:cstheme="minorHAnsi"/>
          <w:i/>
        </w:rPr>
        <w:t>Y</w:t>
      </w:r>
      <w:r w:rsidRPr="0080697E">
        <w:rPr>
          <w:rFonts w:asciiTheme="majorHAnsi" w:eastAsia="Arial" w:hAnsiTheme="majorHAnsi" w:cstheme="minorHAnsi"/>
          <w:i/>
          <w:iCs/>
        </w:rPr>
        <w:t>outh Justice</w:t>
      </w:r>
      <w:r w:rsidRPr="0080697E">
        <w:rPr>
          <w:rFonts w:asciiTheme="majorHAnsi" w:eastAsia="Arial" w:hAnsiTheme="majorHAnsi" w:cstheme="minorHAnsi"/>
          <w:iCs/>
        </w:rPr>
        <w:t xml:space="preserve">, </w:t>
      </w:r>
      <w:r w:rsidRPr="0080697E">
        <w:rPr>
          <w:rFonts w:asciiTheme="majorHAnsi" w:eastAsia="Arial" w:hAnsiTheme="majorHAnsi" w:cstheme="minorHAnsi"/>
        </w:rPr>
        <w:t>19(2), pp. 102–119. doi:10.1177/1473225419843353</w:t>
      </w:r>
    </w:p>
    <w:p w14:paraId="7AA3D06E"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79800C2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Trench, S., and Rogers, L. (2016). </w:t>
      </w:r>
      <w:r w:rsidRPr="0080697E">
        <w:rPr>
          <w:rFonts w:asciiTheme="majorHAnsi" w:hAnsiTheme="majorHAnsi" w:cstheme="minorHAnsi"/>
          <w:i/>
          <w:noProof/>
        </w:rPr>
        <w:t>Serious Case Review - Child E. Brighton and Hove Local Safeguarding Children Board</w:t>
      </w:r>
      <w:r w:rsidRPr="0080697E">
        <w:rPr>
          <w:rFonts w:asciiTheme="majorHAnsi" w:hAnsiTheme="majorHAnsi" w:cstheme="minorHAnsi"/>
          <w:noProof/>
        </w:rPr>
        <w:t>. Retrieved from https://www.bhscp.org.uk/wp-content/uploads/sites/3/2019/11/Child-E-Full-Report.pdf</w:t>
      </w:r>
    </w:p>
    <w:p w14:paraId="405F7901" w14:textId="77777777" w:rsidR="0080697E" w:rsidRPr="0080697E" w:rsidRDefault="0080697E" w:rsidP="0080697E">
      <w:pPr>
        <w:widowControl w:val="0"/>
        <w:autoSpaceDE w:val="0"/>
        <w:autoSpaceDN w:val="0"/>
        <w:adjustRightInd w:val="0"/>
        <w:rPr>
          <w:rFonts w:asciiTheme="majorHAnsi" w:hAnsiTheme="majorHAnsi" w:cstheme="minorHAnsi"/>
          <w:noProof/>
        </w:rPr>
      </w:pPr>
    </w:p>
    <w:p w14:paraId="29B1FBCC"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Vuattoux, A. (2018). Adolescent Masculinities and Juvenile Justice in France. </w:t>
      </w:r>
      <w:r w:rsidRPr="0080697E">
        <w:rPr>
          <w:rFonts w:asciiTheme="majorHAnsi" w:hAnsiTheme="majorHAnsi" w:cstheme="minorHAnsi"/>
          <w:i/>
          <w:iCs/>
          <w:noProof/>
        </w:rPr>
        <w:t>International Journal for Masculinity Studies.</w:t>
      </w:r>
      <w:r w:rsidRPr="0080697E">
        <w:rPr>
          <w:rFonts w:asciiTheme="majorHAnsi" w:hAnsiTheme="majorHAnsi" w:cstheme="minorHAnsi"/>
          <w:noProof/>
        </w:rPr>
        <w:t xml:space="preserve"> [Advance online publication] doi:10.1080/18902138.2017.1421814</w:t>
      </w:r>
    </w:p>
    <w:p w14:paraId="2C15922F"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5295DD14"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World Health Organisation (2014). </w:t>
      </w:r>
      <w:r w:rsidRPr="0080697E">
        <w:rPr>
          <w:rFonts w:asciiTheme="majorHAnsi" w:hAnsiTheme="majorHAnsi" w:cstheme="minorHAnsi"/>
          <w:i/>
          <w:noProof/>
        </w:rPr>
        <w:t>Global Status Report on Violence Prevention</w:t>
      </w:r>
      <w:r w:rsidRPr="0080697E">
        <w:rPr>
          <w:rFonts w:asciiTheme="majorHAnsi" w:hAnsiTheme="majorHAnsi" w:cstheme="minorHAnsi"/>
          <w:noProof/>
        </w:rPr>
        <w:t>. Retrieved from https://www.who.int/violence_injury_prevention/violence/status_report/2014/report/report/en/</w:t>
      </w:r>
    </w:p>
    <w:p w14:paraId="5A4F3775"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2C0F72A0"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lastRenderedPageBreak/>
        <w:t xml:space="preserve">Williams, J. K. </w:t>
      </w:r>
      <w:r w:rsidRPr="0080697E">
        <w:rPr>
          <w:rFonts w:asciiTheme="majorHAnsi" w:hAnsiTheme="majorHAnsi" w:cstheme="minorHAnsi"/>
          <w:i/>
          <w:iCs/>
          <w:noProof/>
        </w:rPr>
        <w:t>et al</w:t>
      </w:r>
      <w:r w:rsidRPr="0080697E">
        <w:rPr>
          <w:rFonts w:asciiTheme="majorHAnsi" w:hAnsiTheme="majorHAnsi" w:cstheme="minorHAnsi"/>
          <w:noProof/>
        </w:rPr>
        <w:t>. (2009). Learning From Successful Interventions: A Culturally Congruent HIV risk: Reduction Intervention for African American Men Who Have Sex With Men and Women.</w:t>
      </w:r>
      <w:r w:rsidRPr="0080697E">
        <w:rPr>
          <w:rFonts w:asciiTheme="majorHAnsi" w:hAnsiTheme="majorHAnsi" w:cstheme="minorHAnsi"/>
          <w:iCs/>
          <w:noProof/>
        </w:rPr>
        <w:t xml:space="preserve"> </w:t>
      </w:r>
      <w:r w:rsidRPr="0080697E">
        <w:rPr>
          <w:rFonts w:asciiTheme="majorHAnsi" w:hAnsiTheme="majorHAnsi" w:cstheme="minorHAnsi"/>
          <w:i/>
          <w:iCs/>
          <w:noProof/>
        </w:rPr>
        <w:t>American Journal of Public Health</w:t>
      </w:r>
      <w:r w:rsidRPr="0080697E">
        <w:rPr>
          <w:rFonts w:asciiTheme="majorHAnsi" w:hAnsiTheme="majorHAnsi" w:cstheme="minorHAnsi"/>
          <w:iCs/>
          <w:noProof/>
        </w:rPr>
        <w:t>,</w:t>
      </w:r>
      <w:r w:rsidRPr="0080697E">
        <w:rPr>
          <w:rFonts w:asciiTheme="majorHAnsi" w:hAnsiTheme="majorHAnsi" w:cstheme="minorHAnsi"/>
          <w:noProof/>
        </w:rPr>
        <w:t xml:space="preserve"> 99(6), pp. 1008–1012. doi:10.2105/AJPH.2008.140558.</w:t>
      </w:r>
    </w:p>
    <w:p w14:paraId="67AD25E9" w14:textId="77777777" w:rsidR="0080697E" w:rsidRPr="0080697E" w:rsidRDefault="0080697E" w:rsidP="0080697E">
      <w:pPr>
        <w:widowControl w:val="0"/>
        <w:autoSpaceDE w:val="0"/>
        <w:autoSpaceDN w:val="0"/>
        <w:adjustRightInd w:val="0"/>
        <w:ind w:left="284" w:hanging="284"/>
        <w:rPr>
          <w:rFonts w:asciiTheme="majorHAnsi" w:hAnsiTheme="majorHAnsi" w:cstheme="minorHAnsi"/>
          <w:noProof/>
        </w:rPr>
      </w:pPr>
    </w:p>
    <w:p w14:paraId="2AF7DC8A" w14:textId="77777777" w:rsidR="0080697E" w:rsidRDefault="0080697E" w:rsidP="0080697E">
      <w:pPr>
        <w:widowControl w:val="0"/>
        <w:autoSpaceDE w:val="0"/>
        <w:autoSpaceDN w:val="0"/>
        <w:adjustRightInd w:val="0"/>
        <w:ind w:left="284" w:hanging="284"/>
        <w:rPr>
          <w:rFonts w:asciiTheme="majorHAnsi" w:hAnsiTheme="majorHAnsi" w:cstheme="minorHAnsi"/>
          <w:noProof/>
        </w:rPr>
      </w:pPr>
    </w:p>
    <w:p w14:paraId="789447EA" w14:textId="5E84E2A6" w:rsidR="0080697E" w:rsidRPr="0080697E" w:rsidRDefault="0080697E" w:rsidP="0080697E">
      <w:pPr>
        <w:widowControl w:val="0"/>
        <w:autoSpaceDE w:val="0"/>
        <w:autoSpaceDN w:val="0"/>
        <w:adjustRightInd w:val="0"/>
        <w:ind w:left="284" w:hanging="284"/>
        <w:rPr>
          <w:rFonts w:asciiTheme="majorHAnsi" w:hAnsiTheme="majorHAnsi" w:cstheme="minorHAnsi"/>
          <w:noProof/>
        </w:rPr>
      </w:pPr>
      <w:r w:rsidRPr="0080697E">
        <w:rPr>
          <w:rFonts w:asciiTheme="majorHAnsi" w:hAnsiTheme="majorHAnsi" w:cstheme="minorHAnsi"/>
          <w:noProof/>
        </w:rPr>
        <w:t xml:space="preserve">Zamboanga, B. L. </w:t>
      </w:r>
      <w:r w:rsidRPr="0080697E">
        <w:rPr>
          <w:rFonts w:asciiTheme="majorHAnsi" w:hAnsiTheme="majorHAnsi" w:cstheme="minorHAnsi"/>
          <w:i/>
          <w:iCs/>
          <w:noProof/>
        </w:rPr>
        <w:t>et al</w:t>
      </w:r>
      <w:r w:rsidRPr="0080697E">
        <w:rPr>
          <w:rFonts w:asciiTheme="majorHAnsi" w:hAnsiTheme="majorHAnsi" w:cstheme="minorHAnsi"/>
          <w:noProof/>
        </w:rPr>
        <w:t xml:space="preserve">. (2017). The Risks of Being 'Manly': Masculine Norms and Drinking Game Motives, Behaviors, and Related Consequences Among Men. </w:t>
      </w:r>
      <w:r w:rsidRPr="0080697E">
        <w:rPr>
          <w:rFonts w:asciiTheme="majorHAnsi" w:hAnsiTheme="majorHAnsi" w:cstheme="minorHAnsi"/>
          <w:i/>
          <w:iCs/>
          <w:noProof/>
        </w:rPr>
        <w:t>Psychology of Men and Masculinity</w:t>
      </w:r>
      <w:r w:rsidRPr="0080697E">
        <w:rPr>
          <w:rFonts w:asciiTheme="majorHAnsi" w:hAnsiTheme="majorHAnsi" w:cstheme="minorHAnsi"/>
          <w:iCs/>
          <w:noProof/>
        </w:rPr>
        <w:t xml:space="preserve">, </w:t>
      </w:r>
      <w:r w:rsidRPr="0080697E">
        <w:rPr>
          <w:rFonts w:asciiTheme="majorHAnsi" w:hAnsiTheme="majorHAnsi" w:cstheme="minorHAnsi"/>
          <w:noProof/>
        </w:rPr>
        <w:t>18(4), pp. 280–292. doi:10.1037/men0000064</w:t>
      </w:r>
    </w:p>
    <w:p w14:paraId="6B97C7E7" w14:textId="77777777" w:rsidR="0080697E" w:rsidRPr="0080697E" w:rsidRDefault="0080697E" w:rsidP="0080697E">
      <w:pPr>
        <w:rPr>
          <w:rFonts w:asciiTheme="majorHAnsi" w:hAnsiTheme="majorHAnsi" w:cstheme="minorHAnsi"/>
        </w:rPr>
      </w:pPr>
      <w:r w:rsidRPr="0080697E">
        <w:rPr>
          <w:rFonts w:asciiTheme="majorHAnsi" w:hAnsiTheme="majorHAnsi" w:cstheme="minorHAnsi"/>
        </w:rPr>
        <w:fldChar w:fldCharType="end"/>
      </w:r>
    </w:p>
    <w:p w14:paraId="61A1F9E7" w14:textId="77777777" w:rsidR="0080697E" w:rsidRPr="0080697E" w:rsidRDefault="0080697E" w:rsidP="0080697E">
      <w:pPr>
        <w:spacing w:line="360" w:lineRule="auto"/>
        <w:rPr>
          <w:rFonts w:asciiTheme="majorHAnsi" w:hAnsiTheme="majorHAnsi" w:cstheme="majorHAnsi"/>
          <w:b/>
          <w:bCs/>
        </w:rPr>
      </w:pPr>
    </w:p>
    <w:p w14:paraId="44758FBB" w14:textId="6D17D28C" w:rsidR="0080697E" w:rsidRPr="0080697E" w:rsidRDefault="0080697E" w:rsidP="0080697E">
      <w:pPr>
        <w:spacing w:line="360" w:lineRule="auto"/>
        <w:rPr>
          <w:rFonts w:asciiTheme="majorHAnsi" w:hAnsiTheme="majorHAnsi" w:cstheme="majorHAnsi"/>
          <w:b/>
          <w:bCs/>
        </w:rPr>
      </w:pPr>
    </w:p>
    <w:p w14:paraId="45F527FD" w14:textId="690BFABC" w:rsidR="0080697E" w:rsidRPr="0080697E" w:rsidRDefault="0080697E" w:rsidP="0080697E">
      <w:pPr>
        <w:spacing w:line="360" w:lineRule="auto"/>
        <w:rPr>
          <w:rFonts w:asciiTheme="majorHAnsi" w:hAnsiTheme="majorHAnsi" w:cstheme="majorHAnsi"/>
          <w:b/>
          <w:bCs/>
        </w:rPr>
      </w:pPr>
    </w:p>
    <w:p w14:paraId="0B9EF8BC" w14:textId="6CB8F021" w:rsidR="0080697E" w:rsidRPr="0080697E" w:rsidRDefault="0080697E" w:rsidP="0080697E">
      <w:pPr>
        <w:spacing w:line="360" w:lineRule="auto"/>
        <w:rPr>
          <w:rFonts w:asciiTheme="majorHAnsi" w:hAnsiTheme="majorHAnsi" w:cstheme="majorHAnsi"/>
          <w:b/>
          <w:bCs/>
        </w:rPr>
      </w:pPr>
    </w:p>
    <w:p w14:paraId="0DE105CC" w14:textId="4759B238" w:rsidR="0080697E" w:rsidRDefault="0080697E">
      <w:pPr>
        <w:rPr>
          <w:rFonts w:asciiTheme="majorHAnsi" w:hAnsiTheme="majorHAnsi" w:cstheme="majorHAnsi"/>
          <w:b/>
          <w:bCs/>
        </w:rPr>
      </w:pPr>
      <w:r>
        <w:rPr>
          <w:rFonts w:asciiTheme="majorHAnsi" w:hAnsiTheme="majorHAnsi" w:cstheme="majorHAnsi"/>
          <w:b/>
          <w:bCs/>
        </w:rPr>
        <w:br w:type="page"/>
      </w:r>
    </w:p>
    <w:p w14:paraId="5716F033" w14:textId="77777777" w:rsidR="0080697E" w:rsidRPr="0080697E" w:rsidRDefault="0080697E" w:rsidP="0080697E">
      <w:pPr>
        <w:spacing w:line="360" w:lineRule="auto"/>
        <w:rPr>
          <w:rFonts w:asciiTheme="majorHAnsi" w:hAnsiTheme="majorHAnsi" w:cstheme="majorHAnsi"/>
          <w:b/>
          <w:bCs/>
        </w:rPr>
      </w:pPr>
    </w:p>
    <w:p w14:paraId="1B730756" w14:textId="4617869F" w:rsidR="00153816" w:rsidRPr="00D74B76" w:rsidRDefault="0080697E" w:rsidP="00153816">
      <w:pPr>
        <w:rPr>
          <w:rFonts w:asciiTheme="majorHAnsi" w:hAnsiTheme="majorHAnsi"/>
          <w:b/>
          <w:bCs/>
        </w:rPr>
      </w:pPr>
      <w:r>
        <w:rPr>
          <w:rFonts w:asciiTheme="majorHAnsi" w:hAnsiTheme="majorHAnsi" w:cstheme="majorHAnsi"/>
          <w:b/>
          <w:bCs/>
        </w:rPr>
        <w:t xml:space="preserve">8. </w:t>
      </w:r>
      <w:r w:rsidR="00153816" w:rsidRPr="00D74B76">
        <w:rPr>
          <w:rFonts w:asciiTheme="majorHAnsi" w:hAnsiTheme="majorHAnsi"/>
          <w:b/>
          <w:bCs/>
        </w:rPr>
        <w:t xml:space="preserve">Appendix 1: About Brighton and Hove </w:t>
      </w:r>
    </w:p>
    <w:p w14:paraId="26ED34E7" w14:textId="77777777" w:rsidR="00153816" w:rsidRPr="00EE05AA" w:rsidRDefault="00153816" w:rsidP="00153816">
      <w:pPr>
        <w:rPr>
          <w:rFonts w:asciiTheme="majorHAnsi" w:hAnsiTheme="majorHAnsi"/>
          <w:b/>
          <w:bCs/>
        </w:rPr>
      </w:pPr>
    </w:p>
    <w:p w14:paraId="75134068" w14:textId="77777777" w:rsidR="00153816" w:rsidRPr="00EE05AA" w:rsidRDefault="00153816" w:rsidP="00153816">
      <w:pPr>
        <w:rPr>
          <w:rFonts w:asciiTheme="majorHAnsi" w:hAnsiTheme="majorHAnsi"/>
          <w:b/>
          <w:bCs/>
        </w:rPr>
      </w:pPr>
      <w:r>
        <w:rPr>
          <w:noProof/>
        </w:rPr>
        <w:drawing>
          <wp:inline distT="0" distB="0" distL="0" distR="0" wp14:anchorId="1EFC3D18" wp14:editId="4DC079B1">
            <wp:extent cx="4284251" cy="3615266"/>
            <wp:effectExtent l="0" t="0" r="0" b="4445"/>
            <wp:docPr id="107" name="Picture 107" descr="page1image161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27">
                      <a:extLst>
                        <a:ext uri="{28A0092B-C50C-407E-A947-70E740481C1C}">
                          <a14:useLocalDpi xmlns:a14="http://schemas.microsoft.com/office/drawing/2010/main" val="0"/>
                        </a:ext>
                      </a:extLst>
                    </a:blip>
                    <a:stretch>
                      <a:fillRect/>
                    </a:stretch>
                  </pic:blipFill>
                  <pic:spPr>
                    <a:xfrm>
                      <a:off x="0" y="0"/>
                      <a:ext cx="4284251" cy="3615266"/>
                    </a:xfrm>
                    <a:prstGeom prst="rect">
                      <a:avLst/>
                    </a:prstGeom>
                  </pic:spPr>
                </pic:pic>
              </a:graphicData>
            </a:graphic>
          </wp:inline>
        </w:drawing>
      </w:r>
    </w:p>
    <w:p w14:paraId="7E9AC259" w14:textId="77777777" w:rsidR="00153816" w:rsidRPr="00EE05AA" w:rsidRDefault="00153816" w:rsidP="00153816">
      <w:pPr>
        <w:rPr>
          <w:rFonts w:asciiTheme="majorHAnsi" w:hAnsiTheme="majorHAnsi"/>
          <w:b/>
          <w:bCs/>
        </w:rPr>
      </w:pPr>
    </w:p>
    <w:p w14:paraId="121ED82E" w14:textId="77777777" w:rsidR="00153816" w:rsidRDefault="00153816" w:rsidP="00153816">
      <w:pPr>
        <w:rPr>
          <w:rFonts w:asciiTheme="majorHAnsi" w:hAnsiTheme="majorHAnsi"/>
          <w:b/>
          <w:bCs/>
        </w:rPr>
      </w:pPr>
    </w:p>
    <w:p w14:paraId="44581C53" w14:textId="77777777" w:rsidR="00153816" w:rsidRPr="00D74B76" w:rsidRDefault="00153816" w:rsidP="00153816">
      <w:pPr>
        <w:spacing w:line="360" w:lineRule="auto"/>
        <w:rPr>
          <w:rFonts w:asciiTheme="majorHAnsi" w:hAnsiTheme="majorHAnsi"/>
          <w:b/>
          <w:bCs/>
        </w:rPr>
      </w:pPr>
      <w:r w:rsidRPr="00D74B76">
        <w:rPr>
          <w:rFonts w:asciiTheme="majorHAnsi" w:hAnsiTheme="majorHAnsi"/>
          <w:b/>
          <w:bCs/>
        </w:rPr>
        <w:t>Contextual information</w:t>
      </w:r>
    </w:p>
    <w:p w14:paraId="03437E2A"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Brighton and Hove, a unitary authority since 1997, has several key features in relation to its history, population and reputation or public image that seem to contribute to the experiences of many residents, but especially the boys and young men focused upon in this project. Located on the South Coast of England and with a history similar to many seaside resorts in England, the past and present identity of the city and the local areas have undergone significant changes in some ways, but some images remain, as discussed later in this report. </w:t>
      </w:r>
    </w:p>
    <w:p w14:paraId="4F4BB4D9" w14:textId="77777777" w:rsidR="00153816" w:rsidRPr="00D74B76" w:rsidRDefault="00153816" w:rsidP="00153816">
      <w:pPr>
        <w:spacing w:line="360" w:lineRule="auto"/>
        <w:rPr>
          <w:rFonts w:asciiTheme="majorHAnsi" w:hAnsiTheme="majorHAnsi"/>
        </w:rPr>
      </w:pPr>
    </w:p>
    <w:p w14:paraId="2665CD64"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This section of the project report includes data from Government and local data sources to provide basic population information before exploring information regarding young men known </w:t>
      </w:r>
      <w:r w:rsidRPr="00D74B76">
        <w:rPr>
          <w:rFonts w:asciiTheme="majorHAnsi" w:hAnsiTheme="majorHAnsi"/>
        </w:rPr>
        <w:lastRenderedPageBreak/>
        <w:t xml:space="preserve">to local child and family services, and also how local and national data compares too with indices such as number of new child </w:t>
      </w:r>
      <w:proofErr w:type="gramStart"/>
      <w:r w:rsidRPr="00D74B76">
        <w:rPr>
          <w:rFonts w:asciiTheme="majorHAnsi" w:hAnsiTheme="majorHAnsi"/>
        </w:rPr>
        <w:t>protection  cases</w:t>
      </w:r>
      <w:proofErr w:type="gramEnd"/>
      <w:r w:rsidRPr="00D74B76">
        <w:rPr>
          <w:rFonts w:asciiTheme="majorHAnsi" w:hAnsiTheme="majorHAnsi"/>
        </w:rPr>
        <w:t>, number of children in care and other relevant measures. Most of the data presented here has been taken from the Office for National Statistics and their associated website, Nomis (</w:t>
      </w:r>
      <w:hyperlink r:id="rId28" w:history="1">
        <w:r w:rsidRPr="00D74B76">
          <w:rPr>
            <w:rStyle w:val="Hyperlink"/>
            <w:rFonts w:asciiTheme="majorHAnsi" w:hAnsiTheme="majorHAnsi"/>
          </w:rPr>
          <w:t>https://www.nomisweb.co.uk/reports/lmp/la/1946157280/report.aspx</w:t>
        </w:r>
      </w:hyperlink>
      <w:r w:rsidRPr="00D74B76">
        <w:rPr>
          <w:rFonts w:asciiTheme="majorHAnsi" w:hAnsiTheme="majorHAnsi"/>
        </w:rPr>
        <w:t>). Most statistics included are based upon the 2011 census, and so should be treated with caution given time since data were collected although some data also comes from more recent national household surveys. Although some data may initially appear to be of little relevance to working with young men, this information summarises the context in which they live, experience their educational and social experiences and within which their goals, aspirations</w:t>
      </w:r>
      <w:r>
        <w:rPr>
          <w:rFonts w:asciiTheme="majorHAnsi" w:hAnsiTheme="majorHAnsi"/>
        </w:rPr>
        <w:t xml:space="preserve"> </w:t>
      </w:r>
      <w:r w:rsidRPr="00D74B76">
        <w:rPr>
          <w:rFonts w:asciiTheme="majorHAnsi" w:hAnsiTheme="majorHAnsi"/>
        </w:rPr>
        <w:t xml:space="preserve">and identities are formed. </w:t>
      </w:r>
    </w:p>
    <w:p w14:paraId="2A8536AB" w14:textId="77777777" w:rsidR="00153816" w:rsidRDefault="00153816" w:rsidP="00153816">
      <w:pPr>
        <w:spacing w:line="360" w:lineRule="auto"/>
        <w:rPr>
          <w:rFonts w:asciiTheme="majorHAnsi" w:hAnsiTheme="majorHAnsi"/>
        </w:rPr>
      </w:pPr>
    </w:p>
    <w:p w14:paraId="538F0095" w14:textId="77777777" w:rsidR="00153816" w:rsidRDefault="00153816" w:rsidP="00153816">
      <w:pPr>
        <w:spacing w:line="360" w:lineRule="auto"/>
        <w:rPr>
          <w:rFonts w:asciiTheme="majorHAnsi" w:hAnsiTheme="majorHAnsi"/>
        </w:rPr>
      </w:pPr>
    </w:p>
    <w:tbl>
      <w:tblPr>
        <w:tblpPr w:leftFromText="180" w:rightFromText="180" w:vertAnchor="page" w:horzAnchor="margin" w:tblpY="4949"/>
        <w:tblW w:w="9072" w:type="dxa"/>
        <w:tblCellSpacing w:w="15" w:type="dxa"/>
        <w:tblBorders>
          <w:top w:val="single" w:sz="12" w:space="0" w:color="CCCCCC"/>
          <w:bottom w:val="single" w:sz="2" w:space="0" w:color="CCCCCC"/>
        </w:tblBorders>
        <w:tblCellMar>
          <w:top w:w="15" w:type="dxa"/>
          <w:left w:w="15" w:type="dxa"/>
          <w:bottom w:w="15" w:type="dxa"/>
          <w:right w:w="15" w:type="dxa"/>
        </w:tblCellMar>
        <w:tblLook w:val="04A0" w:firstRow="1" w:lastRow="0" w:firstColumn="1" w:lastColumn="0" w:noHBand="0" w:noVBand="1"/>
      </w:tblPr>
      <w:tblGrid>
        <w:gridCol w:w="1515"/>
        <w:gridCol w:w="2171"/>
        <w:gridCol w:w="2410"/>
        <w:gridCol w:w="2976"/>
      </w:tblGrid>
      <w:tr w:rsidR="00153816" w:rsidRPr="00D74B76" w14:paraId="5E97ED22" w14:textId="77777777" w:rsidTr="006B1E56">
        <w:trPr>
          <w:trHeight w:val="198"/>
          <w:tblHeader/>
          <w:tblCellSpacing w:w="15" w:type="dxa"/>
        </w:trPr>
        <w:tc>
          <w:tcPr>
            <w:tcW w:w="9012" w:type="dxa"/>
            <w:gridSpan w:val="4"/>
            <w:tcBorders>
              <w:top w:val="nil"/>
              <w:left w:val="nil"/>
              <w:bottom w:val="nil"/>
              <w:right w:val="nil"/>
            </w:tcBorders>
            <w:tcMar>
              <w:top w:w="72" w:type="dxa"/>
              <w:left w:w="30" w:type="dxa"/>
              <w:bottom w:w="72" w:type="dxa"/>
              <w:right w:w="30" w:type="dxa"/>
            </w:tcMar>
            <w:vAlign w:val="center"/>
            <w:hideMark/>
          </w:tcPr>
          <w:p w14:paraId="30163264" w14:textId="77777777" w:rsidR="00153816" w:rsidRPr="00D74B76" w:rsidRDefault="00153816" w:rsidP="006B1E56">
            <w:pPr>
              <w:shd w:val="clear" w:color="auto" w:fill="F3F3F3"/>
              <w:spacing w:after="45"/>
              <w:rPr>
                <w:rFonts w:asciiTheme="majorHAnsi" w:hAnsiTheme="majorHAnsi"/>
                <w:b/>
                <w:bCs/>
                <w:color w:val="545252"/>
              </w:rPr>
            </w:pPr>
            <w:r w:rsidRPr="00D74B76">
              <w:rPr>
                <w:rFonts w:asciiTheme="majorHAnsi" w:hAnsiTheme="majorHAnsi"/>
                <w:b/>
                <w:bCs/>
                <w:color w:val="545252"/>
              </w:rPr>
              <w:t>Total population (2019)</w:t>
            </w:r>
          </w:p>
        </w:tc>
      </w:tr>
      <w:tr w:rsidR="00153816" w:rsidRPr="00D74B76" w14:paraId="42F74E94" w14:textId="77777777" w:rsidTr="006B1E56">
        <w:trPr>
          <w:trHeight w:val="348"/>
          <w:tblHeader/>
          <w:tblCellSpacing w:w="15" w:type="dxa"/>
        </w:trPr>
        <w:tc>
          <w:tcPr>
            <w:tcW w:w="1470" w:type="dxa"/>
            <w:tcBorders>
              <w:bottom w:val="dotted" w:sz="6" w:space="0" w:color="E9E6E6"/>
            </w:tcBorders>
            <w:tcMar>
              <w:top w:w="72" w:type="dxa"/>
              <w:left w:w="30" w:type="dxa"/>
              <w:bottom w:w="72" w:type="dxa"/>
              <w:right w:w="30" w:type="dxa"/>
            </w:tcMar>
            <w:hideMark/>
          </w:tcPr>
          <w:p w14:paraId="05712425" w14:textId="77777777" w:rsidR="00153816" w:rsidRPr="00D74B76" w:rsidRDefault="00153816" w:rsidP="006B1E56">
            <w:pPr>
              <w:spacing w:before="15" w:after="15"/>
              <w:ind w:left="15" w:right="15"/>
              <w:jc w:val="right"/>
              <w:rPr>
                <w:rFonts w:asciiTheme="majorHAnsi" w:hAnsiTheme="majorHAnsi"/>
                <w:b/>
                <w:bCs/>
                <w:color w:val="333333"/>
              </w:rPr>
            </w:pPr>
            <w:r w:rsidRPr="00D74B76">
              <w:rPr>
                <w:rFonts w:asciiTheme="majorHAnsi" w:hAnsiTheme="majorHAnsi"/>
                <w:b/>
                <w:bCs/>
                <w:color w:val="333333"/>
              </w:rPr>
              <w:t> </w:t>
            </w:r>
          </w:p>
        </w:tc>
        <w:tc>
          <w:tcPr>
            <w:tcW w:w="2141" w:type="dxa"/>
            <w:tcBorders>
              <w:bottom w:val="dotted" w:sz="6" w:space="0" w:color="E9E6E6"/>
            </w:tcBorders>
            <w:tcMar>
              <w:top w:w="72" w:type="dxa"/>
              <w:left w:w="30" w:type="dxa"/>
              <w:bottom w:w="72" w:type="dxa"/>
              <w:right w:w="30" w:type="dxa"/>
            </w:tcMar>
            <w:hideMark/>
          </w:tcPr>
          <w:p w14:paraId="60845D68" w14:textId="77777777" w:rsidR="00153816" w:rsidRPr="00D74B76" w:rsidRDefault="00153816" w:rsidP="006B1E56">
            <w:pPr>
              <w:spacing w:before="15" w:after="15"/>
              <w:ind w:left="15" w:right="15"/>
              <w:jc w:val="right"/>
              <w:rPr>
                <w:rFonts w:asciiTheme="majorHAnsi" w:hAnsiTheme="majorHAnsi"/>
                <w:b/>
                <w:bCs/>
                <w:color w:val="333333"/>
              </w:rPr>
            </w:pPr>
            <w:r w:rsidRPr="00D74B76">
              <w:rPr>
                <w:rFonts w:asciiTheme="majorHAnsi" w:hAnsiTheme="majorHAnsi"/>
                <w:b/>
                <w:bCs/>
                <w:color w:val="333333"/>
              </w:rPr>
              <w:t>Brighton And Hove</w:t>
            </w:r>
            <w:r w:rsidRPr="00D74B76">
              <w:rPr>
                <w:rFonts w:asciiTheme="majorHAnsi" w:hAnsiTheme="majorHAnsi"/>
                <w:b/>
                <w:bCs/>
                <w:color w:val="333333"/>
              </w:rPr>
              <w:br/>
              <w:t>(Numbers)</w:t>
            </w:r>
          </w:p>
        </w:tc>
        <w:tc>
          <w:tcPr>
            <w:tcW w:w="2380" w:type="dxa"/>
            <w:tcBorders>
              <w:bottom w:val="dotted" w:sz="6" w:space="0" w:color="E9E6E6"/>
            </w:tcBorders>
            <w:tcMar>
              <w:top w:w="72" w:type="dxa"/>
              <w:left w:w="30" w:type="dxa"/>
              <w:bottom w:w="72" w:type="dxa"/>
              <w:right w:w="30" w:type="dxa"/>
            </w:tcMar>
            <w:hideMark/>
          </w:tcPr>
          <w:p w14:paraId="510040F0" w14:textId="77777777" w:rsidR="00153816" w:rsidRPr="00D74B76" w:rsidRDefault="00153816" w:rsidP="006B1E56">
            <w:pPr>
              <w:spacing w:before="15" w:after="15"/>
              <w:ind w:left="15" w:right="15"/>
              <w:jc w:val="right"/>
              <w:rPr>
                <w:rFonts w:asciiTheme="majorHAnsi" w:hAnsiTheme="majorHAnsi"/>
                <w:b/>
                <w:bCs/>
                <w:color w:val="333333"/>
              </w:rPr>
            </w:pPr>
            <w:r w:rsidRPr="00D74B76">
              <w:rPr>
                <w:rFonts w:asciiTheme="majorHAnsi" w:hAnsiTheme="majorHAnsi"/>
                <w:b/>
                <w:bCs/>
                <w:color w:val="333333"/>
              </w:rPr>
              <w:t>South East</w:t>
            </w:r>
            <w:r w:rsidRPr="00D74B76">
              <w:rPr>
                <w:rFonts w:asciiTheme="majorHAnsi" w:hAnsiTheme="majorHAnsi"/>
                <w:b/>
                <w:bCs/>
                <w:color w:val="333333"/>
              </w:rPr>
              <w:br/>
              <w:t>(Numbers)</w:t>
            </w:r>
          </w:p>
        </w:tc>
        <w:tc>
          <w:tcPr>
            <w:tcW w:w="2931" w:type="dxa"/>
            <w:tcBorders>
              <w:bottom w:val="dotted" w:sz="6" w:space="0" w:color="E9E6E6"/>
            </w:tcBorders>
            <w:tcMar>
              <w:top w:w="72" w:type="dxa"/>
              <w:left w:w="30" w:type="dxa"/>
              <w:bottom w:w="72" w:type="dxa"/>
              <w:right w:w="30" w:type="dxa"/>
            </w:tcMar>
            <w:hideMark/>
          </w:tcPr>
          <w:p w14:paraId="11C80F15" w14:textId="77777777" w:rsidR="00153816" w:rsidRPr="00D74B76" w:rsidRDefault="00153816" w:rsidP="006B1E56">
            <w:pPr>
              <w:spacing w:before="15" w:after="15"/>
              <w:ind w:left="15" w:right="15"/>
              <w:jc w:val="right"/>
              <w:rPr>
                <w:rFonts w:asciiTheme="majorHAnsi" w:hAnsiTheme="majorHAnsi"/>
                <w:b/>
                <w:bCs/>
                <w:color w:val="333333"/>
              </w:rPr>
            </w:pPr>
            <w:r w:rsidRPr="00D74B76">
              <w:rPr>
                <w:rFonts w:asciiTheme="majorHAnsi" w:hAnsiTheme="majorHAnsi"/>
                <w:b/>
                <w:bCs/>
                <w:color w:val="333333"/>
              </w:rPr>
              <w:t>Great Britain</w:t>
            </w:r>
            <w:r w:rsidRPr="00D74B76">
              <w:rPr>
                <w:rFonts w:asciiTheme="majorHAnsi" w:hAnsiTheme="majorHAnsi"/>
                <w:b/>
                <w:bCs/>
                <w:color w:val="333333"/>
              </w:rPr>
              <w:br/>
              <w:t>(Numbers)</w:t>
            </w:r>
          </w:p>
        </w:tc>
      </w:tr>
      <w:tr w:rsidR="00153816" w:rsidRPr="00D74B76" w14:paraId="62B9DDE9" w14:textId="77777777" w:rsidTr="006B1E56">
        <w:trPr>
          <w:trHeight w:val="166"/>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248E5537" w14:textId="77777777" w:rsidR="00153816" w:rsidRPr="00D74B76" w:rsidRDefault="00153816" w:rsidP="006B1E56">
            <w:pPr>
              <w:rPr>
                <w:rFonts w:asciiTheme="majorHAnsi" w:hAnsiTheme="majorHAnsi"/>
                <w:color w:val="333333"/>
              </w:rPr>
            </w:pPr>
            <w:r w:rsidRPr="00D74B76">
              <w:rPr>
                <w:rFonts w:asciiTheme="majorHAnsi" w:hAnsiTheme="majorHAnsi"/>
                <w:color w:val="333333"/>
              </w:rPr>
              <w:t>All People</w:t>
            </w:r>
          </w:p>
        </w:tc>
        <w:tc>
          <w:tcPr>
            <w:tcW w:w="2141" w:type="dxa"/>
            <w:tcBorders>
              <w:bottom w:val="dotted" w:sz="6" w:space="0" w:color="E9E6E6"/>
            </w:tcBorders>
            <w:tcMar>
              <w:top w:w="45" w:type="dxa"/>
              <w:left w:w="45" w:type="dxa"/>
              <w:bottom w:w="45" w:type="dxa"/>
              <w:right w:w="45" w:type="dxa"/>
            </w:tcMar>
            <w:vAlign w:val="center"/>
            <w:hideMark/>
          </w:tcPr>
          <w:p w14:paraId="0367E378"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290,900</w:t>
            </w:r>
          </w:p>
        </w:tc>
        <w:tc>
          <w:tcPr>
            <w:tcW w:w="2380" w:type="dxa"/>
            <w:tcBorders>
              <w:bottom w:val="dotted" w:sz="6" w:space="0" w:color="E9E6E6"/>
            </w:tcBorders>
            <w:tcMar>
              <w:top w:w="45" w:type="dxa"/>
              <w:left w:w="45" w:type="dxa"/>
              <w:bottom w:w="45" w:type="dxa"/>
              <w:right w:w="45" w:type="dxa"/>
            </w:tcMar>
            <w:vAlign w:val="center"/>
            <w:hideMark/>
          </w:tcPr>
          <w:p w14:paraId="438E26D2"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9,180,100</w:t>
            </w:r>
          </w:p>
        </w:tc>
        <w:tc>
          <w:tcPr>
            <w:tcW w:w="2931" w:type="dxa"/>
            <w:tcBorders>
              <w:bottom w:val="dotted" w:sz="6" w:space="0" w:color="E9E6E6"/>
            </w:tcBorders>
            <w:tcMar>
              <w:top w:w="45" w:type="dxa"/>
              <w:left w:w="45" w:type="dxa"/>
              <w:bottom w:w="45" w:type="dxa"/>
              <w:right w:w="45" w:type="dxa"/>
            </w:tcMar>
            <w:vAlign w:val="center"/>
            <w:hideMark/>
          </w:tcPr>
          <w:p w14:paraId="3F7410EB"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64,903,100</w:t>
            </w:r>
          </w:p>
        </w:tc>
      </w:tr>
      <w:tr w:rsidR="00153816" w:rsidRPr="00D74B76" w14:paraId="1BF59C1E" w14:textId="77777777" w:rsidTr="006B1E56">
        <w:trPr>
          <w:trHeight w:val="166"/>
          <w:tblCellSpacing w:w="15" w:type="dxa"/>
        </w:trPr>
        <w:tc>
          <w:tcPr>
            <w:tcW w:w="0" w:type="auto"/>
            <w:tcBorders>
              <w:bottom w:val="dotted" w:sz="6" w:space="0" w:color="E9E6E6"/>
            </w:tcBorders>
            <w:noWrap/>
            <w:tcMar>
              <w:top w:w="72" w:type="dxa"/>
              <w:left w:w="0" w:type="dxa"/>
              <w:bottom w:w="72" w:type="dxa"/>
              <w:right w:w="0" w:type="dxa"/>
            </w:tcMar>
            <w:vAlign w:val="center"/>
          </w:tcPr>
          <w:p w14:paraId="0F832BFC" w14:textId="77777777" w:rsidR="00153816" w:rsidRPr="00D74B76" w:rsidRDefault="00153816" w:rsidP="006B1E56">
            <w:pPr>
              <w:rPr>
                <w:rFonts w:asciiTheme="majorHAnsi" w:hAnsiTheme="majorHAnsi"/>
                <w:color w:val="333333"/>
              </w:rPr>
            </w:pPr>
          </w:p>
        </w:tc>
        <w:tc>
          <w:tcPr>
            <w:tcW w:w="2141" w:type="dxa"/>
            <w:tcBorders>
              <w:bottom w:val="dotted" w:sz="6" w:space="0" w:color="E9E6E6"/>
            </w:tcBorders>
            <w:tcMar>
              <w:top w:w="45" w:type="dxa"/>
              <w:left w:w="45" w:type="dxa"/>
              <w:bottom w:w="45" w:type="dxa"/>
              <w:right w:w="45" w:type="dxa"/>
            </w:tcMar>
            <w:vAlign w:val="center"/>
          </w:tcPr>
          <w:p w14:paraId="363B0B16" w14:textId="77777777" w:rsidR="00153816" w:rsidRPr="00D74B76" w:rsidRDefault="00153816" w:rsidP="006B1E56">
            <w:pPr>
              <w:jc w:val="right"/>
              <w:rPr>
                <w:rFonts w:asciiTheme="majorHAnsi" w:hAnsiTheme="majorHAnsi"/>
                <w:color w:val="333333"/>
              </w:rPr>
            </w:pPr>
          </w:p>
        </w:tc>
        <w:tc>
          <w:tcPr>
            <w:tcW w:w="2380" w:type="dxa"/>
            <w:tcBorders>
              <w:bottom w:val="dotted" w:sz="6" w:space="0" w:color="E9E6E6"/>
            </w:tcBorders>
            <w:tcMar>
              <w:top w:w="45" w:type="dxa"/>
              <w:left w:w="45" w:type="dxa"/>
              <w:bottom w:w="45" w:type="dxa"/>
              <w:right w:w="45" w:type="dxa"/>
            </w:tcMar>
            <w:vAlign w:val="center"/>
          </w:tcPr>
          <w:p w14:paraId="122508BC" w14:textId="77777777" w:rsidR="00153816" w:rsidRPr="00D74B76" w:rsidRDefault="00153816" w:rsidP="006B1E56">
            <w:pPr>
              <w:jc w:val="right"/>
              <w:rPr>
                <w:rFonts w:asciiTheme="majorHAnsi" w:hAnsiTheme="majorHAnsi"/>
                <w:color w:val="333333"/>
              </w:rPr>
            </w:pPr>
          </w:p>
        </w:tc>
        <w:tc>
          <w:tcPr>
            <w:tcW w:w="2931" w:type="dxa"/>
            <w:tcBorders>
              <w:bottom w:val="dotted" w:sz="6" w:space="0" w:color="E9E6E6"/>
            </w:tcBorders>
            <w:tcMar>
              <w:top w:w="45" w:type="dxa"/>
              <w:left w:w="45" w:type="dxa"/>
              <w:bottom w:w="45" w:type="dxa"/>
              <w:right w:w="45" w:type="dxa"/>
            </w:tcMar>
            <w:vAlign w:val="center"/>
          </w:tcPr>
          <w:p w14:paraId="31CCE18D" w14:textId="77777777" w:rsidR="00153816" w:rsidRPr="00D74B76" w:rsidRDefault="00153816" w:rsidP="006B1E56">
            <w:pPr>
              <w:jc w:val="right"/>
              <w:rPr>
                <w:rFonts w:asciiTheme="majorHAnsi" w:hAnsiTheme="majorHAnsi"/>
                <w:color w:val="333333"/>
              </w:rPr>
            </w:pPr>
          </w:p>
        </w:tc>
      </w:tr>
      <w:tr w:rsidR="00153816" w:rsidRPr="00D74B76" w14:paraId="60E39FB7" w14:textId="77777777" w:rsidTr="006B1E56">
        <w:trPr>
          <w:trHeight w:val="166"/>
          <w:tblCellSpacing w:w="15" w:type="dxa"/>
        </w:trPr>
        <w:tc>
          <w:tcPr>
            <w:tcW w:w="0" w:type="auto"/>
            <w:tcBorders>
              <w:bottom w:val="dotted" w:sz="6" w:space="0" w:color="E9E6E6"/>
            </w:tcBorders>
            <w:tcMar>
              <w:top w:w="72" w:type="dxa"/>
              <w:left w:w="240" w:type="dxa"/>
              <w:bottom w:w="72" w:type="dxa"/>
              <w:right w:w="0" w:type="dxa"/>
            </w:tcMar>
            <w:vAlign w:val="center"/>
            <w:hideMark/>
          </w:tcPr>
          <w:p w14:paraId="3872DFB9" w14:textId="77777777" w:rsidR="00153816" w:rsidRPr="00D74B76" w:rsidRDefault="00153816" w:rsidP="006B1E56">
            <w:pPr>
              <w:rPr>
                <w:rFonts w:asciiTheme="majorHAnsi" w:hAnsiTheme="majorHAnsi"/>
                <w:color w:val="333333"/>
              </w:rPr>
            </w:pPr>
            <w:r w:rsidRPr="00D74B76">
              <w:rPr>
                <w:rFonts w:asciiTheme="majorHAnsi" w:hAnsiTheme="majorHAnsi"/>
                <w:color w:val="333333"/>
              </w:rPr>
              <w:t>Males</w:t>
            </w:r>
          </w:p>
        </w:tc>
        <w:tc>
          <w:tcPr>
            <w:tcW w:w="2141" w:type="dxa"/>
            <w:tcBorders>
              <w:bottom w:val="dotted" w:sz="6" w:space="0" w:color="E9E6E6"/>
            </w:tcBorders>
            <w:tcMar>
              <w:top w:w="45" w:type="dxa"/>
              <w:left w:w="45" w:type="dxa"/>
              <w:bottom w:w="45" w:type="dxa"/>
              <w:right w:w="45" w:type="dxa"/>
            </w:tcMar>
            <w:vAlign w:val="center"/>
            <w:hideMark/>
          </w:tcPr>
          <w:p w14:paraId="29FD9838"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146,200</w:t>
            </w:r>
          </w:p>
        </w:tc>
        <w:tc>
          <w:tcPr>
            <w:tcW w:w="2380" w:type="dxa"/>
            <w:tcBorders>
              <w:bottom w:val="dotted" w:sz="6" w:space="0" w:color="E9E6E6"/>
            </w:tcBorders>
            <w:tcMar>
              <w:top w:w="45" w:type="dxa"/>
              <w:left w:w="45" w:type="dxa"/>
              <w:bottom w:w="45" w:type="dxa"/>
              <w:right w:w="45" w:type="dxa"/>
            </w:tcMar>
            <w:vAlign w:val="center"/>
            <w:hideMark/>
          </w:tcPr>
          <w:p w14:paraId="00C57849"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4,523,900</w:t>
            </w:r>
          </w:p>
        </w:tc>
        <w:tc>
          <w:tcPr>
            <w:tcW w:w="2931" w:type="dxa"/>
            <w:tcBorders>
              <w:bottom w:val="dotted" w:sz="6" w:space="0" w:color="E9E6E6"/>
            </w:tcBorders>
            <w:tcMar>
              <w:top w:w="45" w:type="dxa"/>
              <w:left w:w="45" w:type="dxa"/>
              <w:bottom w:w="45" w:type="dxa"/>
              <w:right w:w="45" w:type="dxa"/>
            </w:tcMar>
            <w:vAlign w:val="center"/>
            <w:hideMark/>
          </w:tcPr>
          <w:p w14:paraId="32A43720"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32,045,500</w:t>
            </w:r>
          </w:p>
        </w:tc>
      </w:tr>
      <w:tr w:rsidR="00153816" w:rsidRPr="00D74B76" w14:paraId="659D4525" w14:textId="77777777" w:rsidTr="006B1E56">
        <w:trPr>
          <w:trHeight w:val="166"/>
          <w:tblCellSpacing w:w="15" w:type="dxa"/>
        </w:trPr>
        <w:tc>
          <w:tcPr>
            <w:tcW w:w="0" w:type="auto"/>
            <w:tcBorders>
              <w:bottom w:val="single" w:sz="18" w:space="0" w:color="DDDDDD"/>
            </w:tcBorders>
            <w:tcMar>
              <w:top w:w="72" w:type="dxa"/>
              <w:left w:w="240" w:type="dxa"/>
              <w:bottom w:w="72" w:type="dxa"/>
              <w:right w:w="0" w:type="dxa"/>
            </w:tcMar>
            <w:hideMark/>
          </w:tcPr>
          <w:p w14:paraId="177313B3" w14:textId="77777777" w:rsidR="00153816" w:rsidRPr="00D74B76" w:rsidRDefault="00153816" w:rsidP="006B1E56">
            <w:pPr>
              <w:rPr>
                <w:rFonts w:asciiTheme="majorHAnsi" w:hAnsiTheme="majorHAnsi"/>
                <w:color w:val="333333"/>
              </w:rPr>
            </w:pPr>
            <w:r w:rsidRPr="00D74B76">
              <w:rPr>
                <w:rFonts w:asciiTheme="majorHAnsi" w:hAnsiTheme="majorHAnsi"/>
                <w:color w:val="333333"/>
              </w:rPr>
              <w:t>Females</w:t>
            </w:r>
          </w:p>
        </w:tc>
        <w:tc>
          <w:tcPr>
            <w:tcW w:w="2141" w:type="dxa"/>
            <w:tcBorders>
              <w:bottom w:val="single" w:sz="18" w:space="0" w:color="DDDDDD"/>
            </w:tcBorders>
            <w:tcMar>
              <w:top w:w="45" w:type="dxa"/>
              <w:left w:w="45" w:type="dxa"/>
              <w:bottom w:w="168" w:type="dxa"/>
              <w:right w:w="45" w:type="dxa"/>
            </w:tcMar>
            <w:hideMark/>
          </w:tcPr>
          <w:p w14:paraId="34C77E83"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144,700</w:t>
            </w:r>
          </w:p>
        </w:tc>
        <w:tc>
          <w:tcPr>
            <w:tcW w:w="2380" w:type="dxa"/>
            <w:tcBorders>
              <w:bottom w:val="single" w:sz="18" w:space="0" w:color="DDDDDD"/>
            </w:tcBorders>
            <w:tcMar>
              <w:top w:w="45" w:type="dxa"/>
              <w:left w:w="45" w:type="dxa"/>
              <w:bottom w:w="168" w:type="dxa"/>
              <w:right w:w="45" w:type="dxa"/>
            </w:tcMar>
            <w:hideMark/>
          </w:tcPr>
          <w:p w14:paraId="644D422D"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4,656,200</w:t>
            </w:r>
          </w:p>
        </w:tc>
        <w:tc>
          <w:tcPr>
            <w:tcW w:w="2931" w:type="dxa"/>
            <w:tcBorders>
              <w:bottom w:val="single" w:sz="18" w:space="0" w:color="DDDDDD"/>
            </w:tcBorders>
            <w:tcMar>
              <w:top w:w="45" w:type="dxa"/>
              <w:left w:w="45" w:type="dxa"/>
              <w:bottom w:w="168" w:type="dxa"/>
              <w:right w:w="45" w:type="dxa"/>
            </w:tcMar>
            <w:hideMark/>
          </w:tcPr>
          <w:p w14:paraId="02F0A958" w14:textId="77777777" w:rsidR="00153816" w:rsidRPr="00D74B76" w:rsidRDefault="00153816" w:rsidP="006B1E56">
            <w:pPr>
              <w:jc w:val="right"/>
              <w:rPr>
                <w:rFonts w:asciiTheme="majorHAnsi" w:hAnsiTheme="majorHAnsi"/>
                <w:color w:val="333333"/>
              </w:rPr>
            </w:pPr>
            <w:r w:rsidRPr="00D74B76">
              <w:rPr>
                <w:rFonts w:asciiTheme="majorHAnsi" w:hAnsiTheme="majorHAnsi"/>
                <w:color w:val="333333"/>
              </w:rPr>
              <w:t>32,857,600</w:t>
            </w:r>
          </w:p>
        </w:tc>
      </w:tr>
    </w:tbl>
    <w:p w14:paraId="5D7294C7" w14:textId="77777777" w:rsidR="00153816" w:rsidRDefault="00153816" w:rsidP="00153816">
      <w:pPr>
        <w:spacing w:line="360" w:lineRule="auto"/>
        <w:rPr>
          <w:rFonts w:asciiTheme="majorHAnsi" w:hAnsiTheme="majorHAnsi"/>
        </w:rPr>
      </w:pPr>
    </w:p>
    <w:p w14:paraId="0FC27C33" w14:textId="77777777" w:rsidR="00153816" w:rsidRPr="00D74B76" w:rsidRDefault="00153816" w:rsidP="00153816">
      <w:pPr>
        <w:spacing w:line="360" w:lineRule="auto"/>
        <w:rPr>
          <w:rFonts w:asciiTheme="majorHAnsi" w:hAnsiTheme="majorHAnsi"/>
        </w:rPr>
      </w:pPr>
    </w:p>
    <w:p w14:paraId="33236534" w14:textId="77777777" w:rsidR="00153816" w:rsidRPr="00D74B76" w:rsidRDefault="00153816" w:rsidP="00153816">
      <w:pPr>
        <w:spacing w:line="360" w:lineRule="auto"/>
        <w:rPr>
          <w:rFonts w:asciiTheme="majorHAnsi" w:hAnsiTheme="majorHAnsi"/>
          <w:color w:val="000000" w:themeColor="text1"/>
        </w:rPr>
      </w:pPr>
      <w:r w:rsidRPr="00D74B76">
        <w:rPr>
          <w:rFonts w:asciiTheme="majorHAnsi" w:hAnsiTheme="majorHAnsi"/>
          <w:color w:val="000000" w:themeColor="text1"/>
        </w:rPr>
        <w:t>At the time of the last census, there were reported to be a total of 273,369 usual residents in Brighton and Hove, with the mean age of these residents being 37.4 years; a relatively young</w:t>
      </w:r>
      <w:r w:rsidRPr="00EE05AA">
        <w:rPr>
          <w:rFonts w:asciiTheme="majorHAnsi" w:hAnsiTheme="majorHAnsi"/>
          <w:color w:val="000000" w:themeColor="text1"/>
        </w:rPr>
        <w:t xml:space="preserve"> </w:t>
      </w:r>
      <w:r w:rsidRPr="00D74B76">
        <w:rPr>
          <w:rFonts w:asciiTheme="majorHAnsi" w:hAnsiTheme="majorHAnsi"/>
          <w:color w:val="000000" w:themeColor="text1"/>
        </w:rPr>
        <w:t>population.</w:t>
      </w:r>
    </w:p>
    <w:p w14:paraId="6FEE49F7" w14:textId="77777777" w:rsidR="00153816" w:rsidRDefault="00153816" w:rsidP="00153816">
      <w:pPr>
        <w:spacing w:line="360" w:lineRule="auto"/>
        <w:rPr>
          <w:rFonts w:asciiTheme="majorHAnsi" w:hAnsiTheme="majorHAnsi"/>
          <w:color w:val="000000" w:themeColor="text1"/>
        </w:rPr>
      </w:pPr>
    </w:p>
    <w:p w14:paraId="23986CE9" w14:textId="77777777" w:rsidR="00153816" w:rsidRPr="00D74B76" w:rsidRDefault="00153816" w:rsidP="00153816">
      <w:pPr>
        <w:spacing w:line="360" w:lineRule="auto"/>
        <w:rPr>
          <w:rFonts w:asciiTheme="majorHAnsi" w:hAnsiTheme="majorHAnsi"/>
          <w:b/>
          <w:bCs/>
          <w:color w:val="000000" w:themeColor="text1"/>
        </w:rPr>
      </w:pPr>
      <w:r w:rsidRPr="00D74B76">
        <w:rPr>
          <w:rFonts w:asciiTheme="majorHAnsi" w:hAnsiTheme="majorHAnsi"/>
          <w:color w:val="000000" w:themeColor="text1"/>
        </w:rPr>
        <w:t xml:space="preserve">In order to consider the similarities and differences of Brighton and Hove with the surrounding area and the UK as a whole, some comparative data is included in the tables below, taken from </w:t>
      </w:r>
      <w:r w:rsidRPr="00D74B76">
        <w:rPr>
          <w:rFonts w:asciiTheme="majorHAnsi" w:hAnsiTheme="majorHAnsi"/>
          <w:color w:val="000000" w:themeColor="text1"/>
        </w:rPr>
        <w:lastRenderedPageBreak/>
        <w:t xml:space="preserve">more recent data via NOMIS (see above).  Additional data have been obtained from the Youth Justice Board (YJB) and is provided below. These data provide summaries of background information relevant to the project, with significant differences compared to reginal and/or national data highlighted by using red text for ease of reading.  </w:t>
      </w:r>
    </w:p>
    <w:p w14:paraId="2996FAF1" w14:textId="77777777" w:rsidR="00153816" w:rsidRDefault="00153816" w:rsidP="00153816">
      <w:pPr>
        <w:spacing w:line="360" w:lineRule="auto"/>
        <w:rPr>
          <w:rFonts w:asciiTheme="majorHAnsi" w:hAnsiTheme="majorHAnsi"/>
          <w:b/>
          <w:bCs/>
          <w:color w:val="000000" w:themeColor="text1"/>
        </w:rPr>
      </w:pPr>
    </w:p>
    <w:p w14:paraId="2025B04B" w14:textId="77777777" w:rsidR="00153816" w:rsidRDefault="00153816" w:rsidP="00153816">
      <w:pPr>
        <w:spacing w:line="360" w:lineRule="auto"/>
        <w:rPr>
          <w:rFonts w:asciiTheme="majorHAnsi" w:hAnsiTheme="majorHAnsi"/>
          <w:b/>
          <w:bCs/>
          <w:color w:val="000000" w:themeColor="text1"/>
        </w:rPr>
      </w:pPr>
    </w:p>
    <w:p w14:paraId="60E8DE53" w14:textId="77777777" w:rsidR="00153816" w:rsidRDefault="00153816" w:rsidP="00153816">
      <w:pPr>
        <w:spacing w:line="360" w:lineRule="auto"/>
        <w:rPr>
          <w:rFonts w:asciiTheme="majorHAnsi" w:hAnsiTheme="majorHAnsi"/>
          <w:b/>
          <w:bCs/>
          <w:color w:val="000000" w:themeColor="text1"/>
        </w:rPr>
      </w:pPr>
    </w:p>
    <w:p w14:paraId="60A5EF04" w14:textId="77777777" w:rsidR="00153816" w:rsidRDefault="00153816" w:rsidP="00153816">
      <w:pPr>
        <w:spacing w:line="360" w:lineRule="auto"/>
        <w:rPr>
          <w:rFonts w:asciiTheme="majorHAnsi" w:hAnsiTheme="majorHAnsi"/>
          <w:b/>
          <w:bCs/>
          <w:color w:val="000000" w:themeColor="text1"/>
        </w:rPr>
      </w:pPr>
    </w:p>
    <w:p w14:paraId="58CF56A0" w14:textId="77777777" w:rsidR="00153816" w:rsidRPr="00D74B76" w:rsidRDefault="00153816" w:rsidP="00153816">
      <w:pPr>
        <w:pStyle w:val="ListParagraph"/>
        <w:numPr>
          <w:ilvl w:val="0"/>
          <w:numId w:val="25"/>
        </w:numPr>
        <w:spacing w:line="360" w:lineRule="auto"/>
        <w:rPr>
          <w:rFonts w:asciiTheme="majorHAnsi" w:hAnsiTheme="majorHAnsi"/>
          <w:color w:val="000000" w:themeColor="text1"/>
        </w:rPr>
      </w:pPr>
      <w:r w:rsidRPr="00D74B76">
        <w:rPr>
          <w:rFonts w:asciiTheme="majorHAnsi" w:hAnsiTheme="majorHAnsi"/>
          <w:b/>
          <w:bCs/>
          <w:color w:val="000000" w:themeColor="text1"/>
        </w:rPr>
        <w:t>The local population:</w:t>
      </w:r>
    </w:p>
    <w:p w14:paraId="253B20BA" w14:textId="77777777" w:rsidR="00153816" w:rsidRPr="00D74B76" w:rsidRDefault="00153816" w:rsidP="00153816">
      <w:pPr>
        <w:rPr>
          <w:rFonts w:asciiTheme="majorHAnsi" w:hAnsiTheme="majorHAnsi"/>
          <w:color w:val="000000" w:themeColor="text1"/>
        </w:rPr>
      </w:pPr>
    </w:p>
    <w:p w14:paraId="686348EC" w14:textId="77777777" w:rsidR="00153816" w:rsidRPr="00D74B76" w:rsidRDefault="00153816" w:rsidP="00153816">
      <w:pPr>
        <w:pStyle w:val="ListParagraph"/>
        <w:numPr>
          <w:ilvl w:val="0"/>
          <w:numId w:val="14"/>
        </w:numPr>
        <w:rPr>
          <w:rFonts w:asciiTheme="majorHAnsi" w:hAnsiTheme="majorHAnsi"/>
          <w:b/>
          <w:bCs/>
          <w:color w:val="000000" w:themeColor="text1"/>
        </w:rPr>
      </w:pPr>
      <w:r w:rsidRPr="00D74B76">
        <w:rPr>
          <w:rFonts w:asciiTheme="majorHAnsi" w:hAnsiTheme="majorHAnsi"/>
          <w:b/>
          <w:bCs/>
          <w:color w:val="000000" w:themeColor="text1"/>
        </w:rPr>
        <w:t>Population size:</w:t>
      </w:r>
    </w:p>
    <w:p w14:paraId="43F17F45" w14:textId="77777777" w:rsidR="00153816" w:rsidRPr="00D74B76" w:rsidRDefault="00153816" w:rsidP="00153816">
      <w:pPr>
        <w:pStyle w:val="ListParagraph"/>
        <w:rPr>
          <w:rFonts w:asciiTheme="majorHAnsi" w:hAnsiTheme="majorHAnsi"/>
          <w:color w:val="000000" w:themeColor="text1"/>
        </w:rPr>
      </w:pPr>
    </w:p>
    <w:p w14:paraId="22AC455F" w14:textId="77777777" w:rsidR="00153816" w:rsidRPr="00D74B76" w:rsidRDefault="00153816" w:rsidP="00153816">
      <w:pPr>
        <w:rPr>
          <w:rFonts w:asciiTheme="majorHAnsi" w:hAnsiTheme="majorHAnsi"/>
          <w:color w:val="000000" w:themeColor="text1"/>
        </w:rPr>
      </w:pPr>
    </w:p>
    <w:p w14:paraId="45EE160B" w14:textId="77777777" w:rsidR="00153816" w:rsidRPr="00D74B76" w:rsidRDefault="00153816" w:rsidP="00153816">
      <w:pPr>
        <w:spacing w:line="360" w:lineRule="auto"/>
        <w:rPr>
          <w:rFonts w:asciiTheme="majorHAnsi" w:hAnsiTheme="majorHAnsi"/>
          <w:color w:val="000000" w:themeColor="text1"/>
        </w:rPr>
      </w:pPr>
      <w:r w:rsidRPr="00D74B76">
        <w:rPr>
          <w:rFonts w:asciiTheme="majorHAnsi" w:hAnsiTheme="majorHAnsi"/>
          <w:color w:val="000000" w:themeColor="text1"/>
        </w:rPr>
        <w:t xml:space="preserve">As shown in the table above, the proportion of </w:t>
      </w:r>
      <w:proofErr w:type="gramStart"/>
      <w:r w:rsidRPr="00D74B76">
        <w:rPr>
          <w:rFonts w:asciiTheme="majorHAnsi" w:hAnsiTheme="majorHAnsi"/>
          <w:color w:val="000000" w:themeColor="text1"/>
        </w:rPr>
        <w:t>16-64-year olds</w:t>
      </w:r>
      <w:proofErr w:type="gramEnd"/>
      <w:r w:rsidRPr="00D74B76">
        <w:rPr>
          <w:rFonts w:asciiTheme="majorHAnsi" w:hAnsiTheme="majorHAnsi"/>
          <w:color w:val="000000" w:themeColor="text1"/>
        </w:rPr>
        <w:t xml:space="preserve"> is higher in Brighton and Hove than it is in the South East, and indeed, than the UK overall. Considered with the table below, this illustrates the relatively young nature of the population of the local area. </w:t>
      </w:r>
    </w:p>
    <w:tbl>
      <w:tblPr>
        <w:tblW w:w="0" w:type="auto"/>
        <w:tblCellSpacing w:w="15" w:type="dxa"/>
        <w:shd w:val="clear" w:color="auto" w:fill="FFFFFF"/>
        <w:tblCellMar>
          <w:top w:w="240" w:type="dxa"/>
          <w:left w:w="240" w:type="dxa"/>
          <w:right w:w="240" w:type="dxa"/>
        </w:tblCellMar>
        <w:tblLook w:val="04A0" w:firstRow="1" w:lastRow="0" w:firstColumn="1" w:lastColumn="0" w:noHBand="0" w:noVBand="1"/>
      </w:tblPr>
      <w:tblGrid>
        <w:gridCol w:w="2036"/>
        <w:gridCol w:w="2069"/>
        <w:gridCol w:w="750"/>
        <w:gridCol w:w="98"/>
      </w:tblGrid>
      <w:tr w:rsidR="00153816" w:rsidRPr="00EE05AA" w14:paraId="44A21BF0" w14:textId="77777777" w:rsidTr="006B1E56">
        <w:trPr>
          <w:gridAfter w:val="1"/>
          <w:wAfter w:w="53" w:type="dxa"/>
          <w:trHeight w:val="230"/>
          <w:tblHeader/>
          <w:tblCellSpacing w:w="15" w:type="dxa"/>
        </w:trPr>
        <w:tc>
          <w:tcPr>
            <w:tcW w:w="4728" w:type="dxa"/>
            <w:gridSpan w:val="3"/>
            <w:tcBorders>
              <w:top w:val="nil"/>
              <w:left w:val="nil"/>
              <w:bottom w:val="nil"/>
              <w:right w:val="nil"/>
            </w:tcBorders>
            <w:shd w:val="clear" w:color="auto" w:fill="FFFFFF"/>
            <w:tcMar>
              <w:top w:w="120" w:type="dxa"/>
              <w:left w:w="240" w:type="dxa"/>
              <w:bottom w:w="120" w:type="dxa"/>
              <w:right w:w="48" w:type="dxa"/>
            </w:tcMar>
            <w:vAlign w:val="center"/>
            <w:hideMark/>
          </w:tcPr>
          <w:p w14:paraId="59D0773D" w14:textId="77777777" w:rsidR="00153816" w:rsidRPr="00EE05AA" w:rsidRDefault="00153816" w:rsidP="006B1E56">
            <w:pPr>
              <w:rPr>
                <w:rFonts w:asciiTheme="majorHAnsi" w:hAnsiTheme="majorHAnsi"/>
                <w:b/>
                <w:bCs/>
                <w:color w:val="58798F"/>
              </w:rPr>
            </w:pPr>
          </w:p>
          <w:p w14:paraId="2D7B57CC" w14:textId="77777777" w:rsidR="00153816" w:rsidRPr="00EE05AA" w:rsidRDefault="00153816" w:rsidP="006B1E56">
            <w:pPr>
              <w:rPr>
                <w:rFonts w:asciiTheme="majorHAnsi" w:hAnsiTheme="majorHAnsi"/>
                <w:b/>
                <w:bCs/>
                <w:color w:val="58798F"/>
              </w:rPr>
            </w:pPr>
          </w:p>
          <w:p w14:paraId="6FE3F184" w14:textId="77777777" w:rsidR="00153816" w:rsidRPr="00EE05AA" w:rsidRDefault="00153816" w:rsidP="006B1E56">
            <w:pPr>
              <w:rPr>
                <w:rFonts w:asciiTheme="majorHAnsi" w:hAnsiTheme="majorHAnsi"/>
                <w:b/>
                <w:bCs/>
                <w:color w:val="58798F"/>
              </w:rPr>
            </w:pPr>
            <w:r w:rsidRPr="00EE05AA">
              <w:rPr>
                <w:rFonts w:asciiTheme="majorHAnsi" w:hAnsiTheme="majorHAnsi"/>
                <w:b/>
                <w:bCs/>
                <w:color w:val="58798F"/>
              </w:rPr>
              <w:t>Age structure</w:t>
            </w:r>
          </w:p>
          <w:p w14:paraId="16B54EF0" w14:textId="77777777" w:rsidR="00153816" w:rsidRPr="00EE05AA" w:rsidRDefault="00153816" w:rsidP="006B1E56">
            <w:pPr>
              <w:jc w:val="right"/>
              <w:rPr>
                <w:rFonts w:asciiTheme="majorHAnsi" w:hAnsiTheme="majorHAnsi"/>
                <w:color w:val="333333"/>
              </w:rPr>
            </w:pPr>
          </w:p>
        </w:tc>
      </w:tr>
      <w:tr w:rsidR="00153816" w:rsidRPr="00EE05AA" w14:paraId="1DCD79CE" w14:textId="77777777" w:rsidTr="006B1E56">
        <w:trPr>
          <w:gridAfter w:val="1"/>
          <w:wAfter w:w="53" w:type="dxa"/>
          <w:tblHeader/>
          <w:tblCellSpacing w:w="15" w:type="dxa"/>
        </w:trPr>
        <w:tc>
          <w:tcPr>
            <w:tcW w:w="0" w:type="auto"/>
            <w:vMerge w:val="restart"/>
            <w:tcBorders>
              <w:top w:val="single" w:sz="12" w:space="0" w:color="333333"/>
              <w:left w:val="nil"/>
              <w:right w:val="nil"/>
            </w:tcBorders>
            <w:shd w:val="clear" w:color="auto" w:fill="FFFFFF"/>
            <w:tcMar>
              <w:top w:w="120" w:type="dxa"/>
              <w:left w:w="240" w:type="dxa"/>
              <w:bottom w:w="120" w:type="dxa"/>
              <w:right w:w="48" w:type="dxa"/>
            </w:tcMar>
            <w:vAlign w:val="bottom"/>
            <w:hideMark/>
          </w:tcPr>
          <w:p w14:paraId="1A169C5C" w14:textId="77777777" w:rsidR="00153816" w:rsidRPr="00EE05AA" w:rsidRDefault="00153816" w:rsidP="006B1E56">
            <w:pPr>
              <w:jc w:val="right"/>
              <w:rPr>
                <w:rFonts w:asciiTheme="majorHAnsi" w:hAnsiTheme="majorHAnsi"/>
                <w:color w:val="333333"/>
              </w:rPr>
            </w:pPr>
          </w:p>
        </w:tc>
        <w:tc>
          <w:tcPr>
            <w:tcW w:w="2789" w:type="dxa"/>
            <w:gridSpan w:val="2"/>
            <w:tcBorders>
              <w:top w:val="single" w:sz="12" w:space="0" w:color="333333"/>
              <w:left w:val="nil"/>
              <w:bottom w:val="single" w:sz="6" w:space="0" w:color="333333"/>
              <w:right w:val="nil"/>
            </w:tcBorders>
            <w:shd w:val="clear" w:color="auto" w:fill="FFFFFF"/>
            <w:tcMar>
              <w:top w:w="120" w:type="dxa"/>
              <w:left w:w="480" w:type="dxa"/>
              <w:bottom w:w="120" w:type="dxa"/>
              <w:right w:w="48" w:type="dxa"/>
            </w:tcMar>
            <w:vAlign w:val="bottom"/>
            <w:hideMark/>
          </w:tcPr>
          <w:p w14:paraId="7079248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Brighton and Hove </w:t>
            </w:r>
          </w:p>
          <w:p w14:paraId="727C18BA" w14:textId="77777777" w:rsidR="00153816" w:rsidRPr="00EE05AA" w:rsidRDefault="00153816" w:rsidP="006B1E56">
            <w:pPr>
              <w:jc w:val="right"/>
              <w:rPr>
                <w:rFonts w:asciiTheme="majorHAnsi" w:hAnsiTheme="majorHAnsi"/>
                <w:color w:val="666666"/>
              </w:rPr>
            </w:pPr>
            <w:r w:rsidRPr="00EE05AA">
              <w:rPr>
                <w:rFonts w:asciiTheme="majorHAnsi" w:hAnsiTheme="majorHAnsi"/>
                <w:color w:val="666666"/>
              </w:rPr>
              <w:t>Local Authority</w:t>
            </w:r>
          </w:p>
        </w:tc>
      </w:tr>
      <w:tr w:rsidR="00153816" w:rsidRPr="00EE05AA" w14:paraId="40FF6DB1" w14:textId="77777777" w:rsidTr="006B1E56">
        <w:trPr>
          <w:tblHeader/>
          <w:tblCellSpacing w:w="15" w:type="dxa"/>
        </w:trPr>
        <w:tc>
          <w:tcPr>
            <w:tcW w:w="0" w:type="auto"/>
            <w:vMerge/>
            <w:tcBorders>
              <w:top w:val="single" w:sz="12" w:space="0" w:color="333333"/>
              <w:left w:val="nil"/>
              <w:right w:val="nil"/>
            </w:tcBorders>
            <w:shd w:val="clear" w:color="auto" w:fill="FFFFFF"/>
            <w:vAlign w:val="center"/>
            <w:hideMark/>
          </w:tcPr>
          <w:p w14:paraId="6EC68C67" w14:textId="77777777" w:rsidR="00153816" w:rsidRPr="00EE05AA" w:rsidRDefault="00153816" w:rsidP="006B1E56">
            <w:pPr>
              <w:rPr>
                <w:rFonts w:asciiTheme="majorHAnsi" w:hAnsiTheme="majorHAnsi"/>
                <w:color w:val="333333"/>
              </w:rPr>
            </w:pPr>
          </w:p>
        </w:tc>
        <w:tc>
          <w:tcPr>
            <w:tcW w:w="2039" w:type="dxa"/>
            <w:shd w:val="clear" w:color="auto" w:fill="FFFFFF"/>
            <w:tcMar>
              <w:top w:w="120" w:type="dxa"/>
              <w:left w:w="480" w:type="dxa"/>
              <w:bottom w:w="120" w:type="dxa"/>
              <w:right w:w="48" w:type="dxa"/>
            </w:tcMar>
            <w:vAlign w:val="bottom"/>
            <w:hideMark/>
          </w:tcPr>
          <w:p w14:paraId="520550F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count</w:t>
            </w:r>
          </w:p>
        </w:tc>
        <w:tc>
          <w:tcPr>
            <w:tcW w:w="803" w:type="dxa"/>
            <w:gridSpan w:val="2"/>
            <w:shd w:val="clear" w:color="auto" w:fill="FFFFFF"/>
            <w:tcMar>
              <w:top w:w="120" w:type="dxa"/>
              <w:left w:w="480" w:type="dxa"/>
              <w:bottom w:w="120" w:type="dxa"/>
              <w:right w:w="48" w:type="dxa"/>
            </w:tcMar>
            <w:vAlign w:val="bottom"/>
            <w:hideMark/>
          </w:tcPr>
          <w:p w14:paraId="30FEFB6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w:t>
            </w:r>
          </w:p>
        </w:tc>
      </w:tr>
      <w:tr w:rsidR="00153816" w:rsidRPr="00EE05AA" w14:paraId="2CF16B8E" w14:textId="77777777" w:rsidTr="006B1E56">
        <w:trPr>
          <w:gridAfter w:val="1"/>
          <w:wAfter w:w="53" w:type="dxa"/>
          <w:tblCellSpacing w:w="15" w:type="dxa"/>
        </w:trPr>
        <w:tc>
          <w:tcPr>
            <w:tcW w:w="0" w:type="auto"/>
            <w:tcBorders>
              <w:top w:val="single" w:sz="6" w:space="0" w:color="333333"/>
            </w:tcBorders>
            <w:shd w:val="clear" w:color="auto" w:fill="FFFFFF"/>
            <w:tcMar>
              <w:top w:w="240" w:type="dxa"/>
              <w:left w:w="48" w:type="dxa"/>
              <w:bottom w:w="48" w:type="dxa"/>
              <w:right w:w="48" w:type="dxa"/>
            </w:tcMar>
            <w:vAlign w:val="center"/>
            <w:hideMark/>
          </w:tcPr>
          <w:p w14:paraId="221FFFE3"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All usual residents</w:t>
            </w:r>
          </w:p>
        </w:tc>
        <w:tc>
          <w:tcPr>
            <w:tcW w:w="0" w:type="auto"/>
            <w:tcBorders>
              <w:top w:val="single" w:sz="6" w:space="0" w:color="333333"/>
            </w:tcBorders>
            <w:shd w:val="clear" w:color="auto" w:fill="FFFFFF"/>
            <w:tcMar>
              <w:top w:w="240" w:type="dxa"/>
              <w:left w:w="48" w:type="dxa"/>
              <w:bottom w:w="48" w:type="dxa"/>
              <w:right w:w="48" w:type="dxa"/>
            </w:tcMar>
            <w:hideMark/>
          </w:tcPr>
          <w:p w14:paraId="40A8601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273,369</w:t>
            </w:r>
          </w:p>
        </w:tc>
        <w:tc>
          <w:tcPr>
            <w:tcW w:w="720" w:type="dxa"/>
            <w:tcBorders>
              <w:top w:val="single" w:sz="6" w:space="0" w:color="333333"/>
            </w:tcBorders>
            <w:shd w:val="clear" w:color="auto" w:fill="FFFFFF"/>
            <w:tcMar>
              <w:top w:w="240" w:type="dxa"/>
              <w:left w:w="48" w:type="dxa"/>
              <w:bottom w:w="48" w:type="dxa"/>
              <w:right w:w="48" w:type="dxa"/>
            </w:tcMar>
            <w:hideMark/>
          </w:tcPr>
          <w:p w14:paraId="167BF84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100.0</w:t>
            </w:r>
          </w:p>
        </w:tc>
      </w:tr>
      <w:tr w:rsidR="00153816" w:rsidRPr="00EE05AA" w14:paraId="3DF48470"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44B7E84C"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0 to 4</w:t>
            </w:r>
          </w:p>
        </w:tc>
        <w:tc>
          <w:tcPr>
            <w:tcW w:w="0" w:type="auto"/>
            <w:shd w:val="clear" w:color="auto" w:fill="FFFFFF"/>
            <w:tcMar>
              <w:top w:w="48" w:type="dxa"/>
              <w:left w:w="48" w:type="dxa"/>
              <w:bottom w:w="48" w:type="dxa"/>
              <w:right w:w="48" w:type="dxa"/>
            </w:tcMar>
            <w:hideMark/>
          </w:tcPr>
          <w:p w14:paraId="5E5790E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15,015</w:t>
            </w:r>
          </w:p>
        </w:tc>
        <w:tc>
          <w:tcPr>
            <w:tcW w:w="720" w:type="dxa"/>
            <w:shd w:val="clear" w:color="auto" w:fill="FFFFFF"/>
            <w:tcMar>
              <w:top w:w="48" w:type="dxa"/>
              <w:left w:w="48" w:type="dxa"/>
              <w:bottom w:w="48" w:type="dxa"/>
              <w:right w:w="48" w:type="dxa"/>
            </w:tcMar>
            <w:hideMark/>
          </w:tcPr>
          <w:p w14:paraId="605F2AA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5.5</w:t>
            </w:r>
          </w:p>
        </w:tc>
      </w:tr>
      <w:tr w:rsidR="00153816" w:rsidRPr="00EE05AA" w14:paraId="06F2581D"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68899DDE"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5 to 7</w:t>
            </w:r>
          </w:p>
        </w:tc>
        <w:tc>
          <w:tcPr>
            <w:tcW w:w="0" w:type="auto"/>
            <w:shd w:val="clear" w:color="auto" w:fill="FFFFFF"/>
            <w:tcMar>
              <w:top w:w="48" w:type="dxa"/>
              <w:left w:w="48" w:type="dxa"/>
              <w:bottom w:w="48" w:type="dxa"/>
              <w:right w:w="48" w:type="dxa"/>
            </w:tcMar>
            <w:hideMark/>
          </w:tcPr>
          <w:p w14:paraId="027A3E0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8,186</w:t>
            </w:r>
          </w:p>
        </w:tc>
        <w:tc>
          <w:tcPr>
            <w:tcW w:w="720" w:type="dxa"/>
            <w:shd w:val="clear" w:color="auto" w:fill="FFFFFF"/>
            <w:tcMar>
              <w:top w:w="48" w:type="dxa"/>
              <w:left w:w="48" w:type="dxa"/>
              <w:bottom w:w="48" w:type="dxa"/>
              <w:right w:w="48" w:type="dxa"/>
            </w:tcMar>
            <w:hideMark/>
          </w:tcPr>
          <w:p w14:paraId="26AAF12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3.0</w:t>
            </w:r>
          </w:p>
        </w:tc>
      </w:tr>
      <w:tr w:rsidR="00153816" w:rsidRPr="00EE05AA" w14:paraId="75B19031"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1A2B0D14"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8 to 9</w:t>
            </w:r>
          </w:p>
        </w:tc>
        <w:tc>
          <w:tcPr>
            <w:tcW w:w="0" w:type="auto"/>
            <w:shd w:val="clear" w:color="auto" w:fill="FFFFFF"/>
            <w:tcMar>
              <w:top w:w="48" w:type="dxa"/>
              <w:left w:w="48" w:type="dxa"/>
              <w:bottom w:w="48" w:type="dxa"/>
              <w:right w:w="48" w:type="dxa"/>
            </w:tcMar>
            <w:hideMark/>
          </w:tcPr>
          <w:p w14:paraId="00A1891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5,105</w:t>
            </w:r>
          </w:p>
        </w:tc>
        <w:tc>
          <w:tcPr>
            <w:tcW w:w="720" w:type="dxa"/>
            <w:shd w:val="clear" w:color="auto" w:fill="FFFFFF"/>
            <w:tcMar>
              <w:top w:w="48" w:type="dxa"/>
              <w:left w:w="48" w:type="dxa"/>
              <w:bottom w:w="48" w:type="dxa"/>
              <w:right w:w="48" w:type="dxa"/>
            </w:tcMar>
            <w:hideMark/>
          </w:tcPr>
          <w:p w14:paraId="5015F70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1.9</w:t>
            </w:r>
          </w:p>
        </w:tc>
      </w:tr>
      <w:tr w:rsidR="00153816" w:rsidRPr="00EE05AA" w14:paraId="237F8343"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37F5A143"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10 to 14</w:t>
            </w:r>
          </w:p>
        </w:tc>
        <w:tc>
          <w:tcPr>
            <w:tcW w:w="0" w:type="auto"/>
            <w:shd w:val="clear" w:color="auto" w:fill="FFFFFF"/>
            <w:tcMar>
              <w:top w:w="48" w:type="dxa"/>
              <w:left w:w="48" w:type="dxa"/>
              <w:bottom w:w="48" w:type="dxa"/>
              <w:right w:w="48" w:type="dxa"/>
            </w:tcMar>
            <w:hideMark/>
          </w:tcPr>
          <w:p w14:paraId="65384BB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13,412</w:t>
            </w:r>
          </w:p>
        </w:tc>
        <w:tc>
          <w:tcPr>
            <w:tcW w:w="720" w:type="dxa"/>
            <w:shd w:val="clear" w:color="auto" w:fill="FFFFFF"/>
            <w:tcMar>
              <w:top w:w="48" w:type="dxa"/>
              <w:left w:w="48" w:type="dxa"/>
              <w:bottom w:w="48" w:type="dxa"/>
              <w:right w:w="48" w:type="dxa"/>
            </w:tcMar>
            <w:hideMark/>
          </w:tcPr>
          <w:p w14:paraId="3BBED85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4.9</w:t>
            </w:r>
          </w:p>
        </w:tc>
      </w:tr>
      <w:tr w:rsidR="00153816" w:rsidRPr="00EE05AA" w14:paraId="01041970"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6DDB7781"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15</w:t>
            </w:r>
          </w:p>
        </w:tc>
        <w:tc>
          <w:tcPr>
            <w:tcW w:w="0" w:type="auto"/>
            <w:shd w:val="clear" w:color="auto" w:fill="FFFFFF"/>
            <w:tcMar>
              <w:top w:w="48" w:type="dxa"/>
              <w:left w:w="48" w:type="dxa"/>
              <w:bottom w:w="48" w:type="dxa"/>
              <w:right w:w="48" w:type="dxa"/>
            </w:tcMar>
            <w:hideMark/>
          </w:tcPr>
          <w:p w14:paraId="17848BB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2,627</w:t>
            </w:r>
          </w:p>
        </w:tc>
        <w:tc>
          <w:tcPr>
            <w:tcW w:w="720" w:type="dxa"/>
            <w:shd w:val="clear" w:color="auto" w:fill="FFFFFF"/>
            <w:tcMar>
              <w:top w:w="48" w:type="dxa"/>
              <w:left w:w="48" w:type="dxa"/>
              <w:bottom w:w="48" w:type="dxa"/>
              <w:right w:w="48" w:type="dxa"/>
            </w:tcMar>
            <w:hideMark/>
          </w:tcPr>
          <w:p w14:paraId="52F0F56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1.0</w:t>
            </w:r>
          </w:p>
        </w:tc>
      </w:tr>
      <w:tr w:rsidR="00153816" w:rsidRPr="00EE05AA" w14:paraId="7913E009"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15509211" w14:textId="77777777" w:rsidR="00153816" w:rsidRPr="00EE05AA" w:rsidRDefault="00153816" w:rsidP="006B1E56">
            <w:pPr>
              <w:rPr>
                <w:rFonts w:asciiTheme="majorHAnsi" w:hAnsiTheme="majorHAnsi"/>
                <w:color w:val="333333"/>
              </w:rPr>
            </w:pPr>
            <w:r w:rsidRPr="00EE05AA">
              <w:rPr>
                <w:rFonts w:asciiTheme="majorHAnsi" w:hAnsiTheme="majorHAnsi"/>
                <w:color w:val="333333"/>
              </w:rPr>
              <w:lastRenderedPageBreak/>
              <w:t>Age 16 to 17</w:t>
            </w:r>
          </w:p>
        </w:tc>
        <w:tc>
          <w:tcPr>
            <w:tcW w:w="0" w:type="auto"/>
            <w:shd w:val="clear" w:color="auto" w:fill="FFFFFF"/>
            <w:tcMar>
              <w:top w:w="48" w:type="dxa"/>
              <w:left w:w="48" w:type="dxa"/>
              <w:bottom w:w="48" w:type="dxa"/>
              <w:right w:w="48" w:type="dxa"/>
            </w:tcMar>
            <w:hideMark/>
          </w:tcPr>
          <w:p w14:paraId="4F00486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5,602</w:t>
            </w:r>
          </w:p>
        </w:tc>
        <w:tc>
          <w:tcPr>
            <w:tcW w:w="720" w:type="dxa"/>
            <w:shd w:val="clear" w:color="auto" w:fill="FFFFFF"/>
            <w:tcMar>
              <w:top w:w="48" w:type="dxa"/>
              <w:left w:w="48" w:type="dxa"/>
              <w:bottom w:w="48" w:type="dxa"/>
              <w:right w:w="48" w:type="dxa"/>
            </w:tcMar>
            <w:hideMark/>
          </w:tcPr>
          <w:p w14:paraId="58E58B0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2.0</w:t>
            </w:r>
          </w:p>
        </w:tc>
      </w:tr>
      <w:tr w:rsidR="00153816" w:rsidRPr="00EE05AA" w14:paraId="24FC1ACB" w14:textId="77777777" w:rsidTr="006B1E56">
        <w:trPr>
          <w:gridAfter w:val="1"/>
          <w:wAfter w:w="53" w:type="dxa"/>
          <w:tblCellSpacing w:w="15" w:type="dxa"/>
        </w:trPr>
        <w:tc>
          <w:tcPr>
            <w:tcW w:w="0" w:type="auto"/>
            <w:shd w:val="clear" w:color="auto" w:fill="F2F2F2"/>
            <w:tcMar>
              <w:top w:w="48" w:type="dxa"/>
              <w:left w:w="360" w:type="dxa"/>
              <w:bottom w:w="48" w:type="dxa"/>
              <w:right w:w="48" w:type="dxa"/>
            </w:tcMar>
            <w:vAlign w:val="center"/>
            <w:hideMark/>
          </w:tcPr>
          <w:p w14:paraId="0A86BE92"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18 to 19</w:t>
            </w:r>
          </w:p>
        </w:tc>
        <w:tc>
          <w:tcPr>
            <w:tcW w:w="0" w:type="auto"/>
            <w:shd w:val="clear" w:color="auto" w:fill="F2F2F2"/>
            <w:tcMar>
              <w:top w:w="48" w:type="dxa"/>
              <w:left w:w="48" w:type="dxa"/>
              <w:bottom w:w="48" w:type="dxa"/>
              <w:right w:w="48" w:type="dxa"/>
            </w:tcMar>
            <w:hideMark/>
          </w:tcPr>
          <w:p w14:paraId="6E499FE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9,810</w:t>
            </w:r>
          </w:p>
        </w:tc>
        <w:tc>
          <w:tcPr>
            <w:tcW w:w="720" w:type="dxa"/>
            <w:shd w:val="clear" w:color="auto" w:fill="F2F2F2"/>
            <w:tcMar>
              <w:top w:w="48" w:type="dxa"/>
              <w:left w:w="48" w:type="dxa"/>
              <w:bottom w:w="48" w:type="dxa"/>
              <w:right w:w="48" w:type="dxa"/>
            </w:tcMar>
            <w:hideMark/>
          </w:tcPr>
          <w:p w14:paraId="1988825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3.6</w:t>
            </w:r>
          </w:p>
        </w:tc>
      </w:tr>
      <w:tr w:rsidR="00153816" w:rsidRPr="00EE05AA" w14:paraId="603CF8F0"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769CAE84"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20 to 24</w:t>
            </w:r>
          </w:p>
        </w:tc>
        <w:tc>
          <w:tcPr>
            <w:tcW w:w="0" w:type="auto"/>
            <w:shd w:val="clear" w:color="auto" w:fill="FFFFFF"/>
            <w:tcMar>
              <w:top w:w="48" w:type="dxa"/>
              <w:left w:w="48" w:type="dxa"/>
              <w:bottom w:w="48" w:type="dxa"/>
              <w:right w:w="48" w:type="dxa"/>
            </w:tcMar>
            <w:hideMark/>
          </w:tcPr>
          <w:p w14:paraId="73DFF6C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28,129</w:t>
            </w:r>
          </w:p>
        </w:tc>
        <w:tc>
          <w:tcPr>
            <w:tcW w:w="720" w:type="dxa"/>
            <w:shd w:val="clear" w:color="auto" w:fill="FFFFFF"/>
            <w:tcMar>
              <w:top w:w="48" w:type="dxa"/>
              <w:left w:w="48" w:type="dxa"/>
              <w:bottom w:w="48" w:type="dxa"/>
              <w:right w:w="48" w:type="dxa"/>
            </w:tcMar>
            <w:hideMark/>
          </w:tcPr>
          <w:p w14:paraId="720C62F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10.3</w:t>
            </w:r>
          </w:p>
        </w:tc>
      </w:tr>
      <w:tr w:rsidR="00153816" w:rsidRPr="00EE05AA" w14:paraId="1A5D357F"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1E270859"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25 to 29</w:t>
            </w:r>
          </w:p>
        </w:tc>
        <w:tc>
          <w:tcPr>
            <w:tcW w:w="0" w:type="auto"/>
            <w:shd w:val="clear" w:color="auto" w:fill="FFFFFF"/>
            <w:tcMar>
              <w:top w:w="48" w:type="dxa"/>
              <w:left w:w="48" w:type="dxa"/>
              <w:bottom w:w="48" w:type="dxa"/>
              <w:right w:w="48" w:type="dxa"/>
            </w:tcMar>
            <w:hideMark/>
          </w:tcPr>
          <w:p w14:paraId="5A780D2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22,998</w:t>
            </w:r>
          </w:p>
        </w:tc>
        <w:tc>
          <w:tcPr>
            <w:tcW w:w="720" w:type="dxa"/>
            <w:shd w:val="clear" w:color="auto" w:fill="FFFFFF"/>
            <w:tcMar>
              <w:top w:w="48" w:type="dxa"/>
              <w:left w:w="48" w:type="dxa"/>
              <w:bottom w:w="48" w:type="dxa"/>
              <w:right w:w="48" w:type="dxa"/>
            </w:tcMar>
            <w:hideMark/>
          </w:tcPr>
          <w:p w14:paraId="4A9D94A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8.4</w:t>
            </w:r>
          </w:p>
        </w:tc>
      </w:tr>
      <w:tr w:rsidR="00153816" w:rsidRPr="00EE05AA" w14:paraId="0722CDD7"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04DA06A8"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30 to 44</w:t>
            </w:r>
          </w:p>
        </w:tc>
        <w:tc>
          <w:tcPr>
            <w:tcW w:w="0" w:type="auto"/>
            <w:shd w:val="clear" w:color="auto" w:fill="FFFFFF"/>
            <w:tcMar>
              <w:top w:w="48" w:type="dxa"/>
              <w:left w:w="48" w:type="dxa"/>
              <w:bottom w:w="48" w:type="dxa"/>
              <w:right w:w="48" w:type="dxa"/>
            </w:tcMar>
            <w:hideMark/>
          </w:tcPr>
          <w:p w14:paraId="3B3E136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65,653</w:t>
            </w:r>
          </w:p>
        </w:tc>
        <w:tc>
          <w:tcPr>
            <w:tcW w:w="720" w:type="dxa"/>
            <w:shd w:val="clear" w:color="auto" w:fill="FFFFFF"/>
            <w:tcMar>
              <w:top w:w="48" w:type="dxa"/>
              <w:left w:w="48" w:type="dxa"/>
              <w:bottom w:w="48" w:type="dxa"/>
              <w:right w:w="48" w:type="dxa"/>
            </w:tcMar>
            <w:hideMark/>
          </w:tcPr>
          <w:p w14:paraId="577A3A7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24.0</w:t>
            </w:r>
          </w:p>
        </w:tc>
      </w:tr>
      <w:tr w:rsidR="00153816" w:rsidRPr="00EE05AA" w14:paraId="427ADCFB"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5D3F7151"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45 to 59</w:t>
            </w:r>
          </w:p>
        </w:tc>
        <w:tc>
          <w:tcPr>
            <w:tcW w:w="0" w:type="auto"/>
            <w:shd w:val="clear" w:color="auto" w:fill="FFFFFF"/>
            <w:tcMar>
              <w:top w:w="48" w:type="dxa"/>
              <w:left w:w="48" w:type="dxa"/>
              <w:bottom w:w="48" w:type="dxa"/>
              <w:right w:w="48" w:type="dxa"/>
            </w:tcMar>
            <w:hideMark/>
          </w:tcPr>
          <w:p w14:paraId="65EB23D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48,426</w:t>
            </w:r>
          </w:p>
        </w:tc>
        <w:tc>
          <w:tcPr>
            <w:tcW w:w="720" w:type="dxa"/>
            <w:shd w:val="clear" w:color="auto" w:fill="FFFFFF"/>
            <w:tcMar>
              <w:top w:w="48" w:type="dxa"/>
              <w:left w:w="48" w:type="dxa"/>
              <w:bottom w:w="48" w:type="dxa"/>
              <w:right w:w="48" w:type="dxa"/>
            </w:tcMar>
            <w:hideMark/>
          </w:tcPr>
          <w:p w14:paraId="08C9D84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17.7</w:t>
            </w:r>
          </w:p>
        </w:tc>
      </w:tr>
      <w:tr w:rsidR="00153816" w:rsidRPr="00EE05AA" w14:paraId="10163D8F"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7E7C6411"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60 to 64</w:t>
            </w:r>
          </w:p>
        </w:tc>
        <w:tc>
          <w:tcPr>
            <w:tcW w:w="0" w:type="auto"/>
            <w:shd w:val="clear" w:color="auto" w:fill="FFFFFF"/>
            <w:tcMar>
              <w:top w:w="48" w:type="dxa"/>
              <w:left w:w="48" w:type="dxa"/>
              <w:bottom w:w="48" w:type="dxa"/>
              <w:right w:w="48" w:type="dxa"/>
            </w:tcMar>
            <w:hideMark/>
          </w:tcPr>
          <w:p w14:paraId="0517ED0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12,714</w:t>
            </w:r>
          </w:p>
        </w:tc>
        <w:tc>
          <w:tcPr>
            <w:tcW w:w="720" w:type="dxa"/>
            <w:shd w:val="clear" w:color="auto" w:fill="FFFFFF"/>
            <w:tcMar>
              <w:top w:w="48" w:type="dxa"/>
              <w:left w:w="48" w:type="dxa"/>
              <w:bottom w:w="48" w:type="dxa"/>
              <w:right w:w="48" w:type="dxa"/>
            </w:tcMar>
            <w:hideMark/>
          </w:tcPr>
          <w:p w14:paraId="01ED850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4.7</w:t>
            </w:r>
          </w:p>
        </w:tc>
      </w:tr>
      <w:tr w:rsidR="00153816" w:rsidRPr="00EE05AA" w14:paraId="6EFF9841"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404457C4"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65 to 74</w:t>
            </w:r>
          </w:p>
        </w:tc>
        <w:tc>
          <w:tcPr>
            <w:tcW w:w="0" w:type="auto"/>
            <w:shd w:val="clear" w:color="auto" w:fill="FFFFFF"/>
            <w:tcMar>
              <w:top w:w="48" w:type="dxa"/>
              <w:left w:w="48" w:type="dxa"/>
              <w:bottom w:w="48" w:type="dxa"/>
              <w:right w:w="48" w:type="dxa"/>
            </w:tcMar>
            <w:hideMark/>
          </w:tcPr>
          <w:p w14:paraId="18E7C94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17,460</w:t>
            </w:r>
          </w:p>
        </w:tc>
        <w:tc>
          <w:tcPr>
            <w:tcW w:w="720" w:type="dxa"/>
            <w:shd w:val="clear" w:color="auto" w:fill="FFFFFF"/>
            <w:tcMar>
              <w:top w:w="48" w:type="dxa"/>
              <w:left w:w="48" w:type="dxa"/>
              <w:bottom w:w="48" w:type="dxa"/>
              <w:right w:w="48" w:type="dxa"/>
            </w:tcMar>
            <w:hideMark/>
          </w:tcPr>
          <w:p w14:paraId="0F208E4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6.4</w:t>
            </w:r>
          </w:p>
        </w:tc>
      </w:tr>
      <w:tr w:rsidR="00153816" w:rsidRPr="00EE05AA" w14:paraId="28CA9714"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5E80DA9D"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75 to 84</w:t>
            </w:r>
          </w:p>
        </w:tc>
        <w:tc>
          <w:tcPr>
            <w:tcW w:w="0" w:type="auto"/>
            <w:shd w:val="clear" w:color="auto" w:fill="FFFFFF"/>
            <w:tcMar>
              <w:top w:w="48" w:type="dxa"/>
              <w:left w:w="48" w:type="dxa"/>
              <w:bottom w:w="48" w:type="dxa"/>
              <w:right w:w="48" w:type="dxa"/>
            </w:tcMar>
            <w:hideMark/>
          </w:tcPr>
          <w:p w14:paraId="104FB38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12,248</w:t>
            </w:r>
          </w:p>
        </w:tc>
        <w:tc>
          <w:tcPr>
            <w:tcW w:w="720" w:type="dxa"/>
            <w:shd w:val="clear" w:color="auto" w:fill="FFFFFF"/>
            <w:tcMar>
              <w:top w:w="48" w:type="dxa"/>
              <w:left w:w="48" w:type="dxa"/>
              <w:bottom w:w="48" w:type="dxa"/>
              <w:right w:w="48" w:type="dxa"/>
            </w:tcMar>
            <w:hideMark/>
          </w:tcPr>
          <w:p w14:paraId="5CA7B4A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4.5</w:t>
            </w:r>
          </w:p>
        </w:tc>
      </w:tr>
      <w:tr w:rsidR="00153816" w:rsidRPr="00EE05AA" w14:paraId="58A88355" w14:textId="77777777" w:rsidTr="006B1E56">
        <w:trPr>
          <w:gridAfter w:val="1"/>
          <w:wAfter w:w="53" w:type="dxa"/>
          <w:tblCellSpacing w:w="15" w:type="dxa"/>
        </w:trPr>
        <w:tc>
          <w:tcPr>
            <w:tcW w:w="0" w:type="auto"/>
            <w:shd w:val="clear" w:color="auto" w:fill="FFFFFF"/>
            <w:tcMar>
              <w:top w:w="48" w:type="dxa"/>
              <w:left w:w="360" w:type="dxa"/>
              <w:bottom w:w="48" w:type="dxa"/>
              <w:right w:w="48" w:type="dxa"/>
            </w:tcMar>
            <w:vAlign w:val="center"/>
            <w:hideMark/>
          </w:tcPr>
          <w:p w14:paraId="7F12B261"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85 to 89</w:t>
            </w:r>
          </w:p>
        </w:tc>
        <w:tc>
          <w:tcPr>
            <w:tcW w:w="0" w:type="auto"/>
            <w:shd w:val="clear" w:color="auto" w:fill="FFFFFF"/>
            <w:tcMar>
              <w:top w:w="48" w:type="dxa"/>
              <w:left w:w="48" w:type="dxa"/>
              <w:bottom w:w="48" w:type="dxa"/>
              <w:right w:w="48" w:type="dxa"/>
            </w:tcMar>
            <w:hideMark/>
          </w:tcPr>
          <w:p w14:paraId="0B52247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3,758</w:t>
            </w:r>
          </w:p>
        </w:tc>
        <w:tc>
          <w:tcPr>
            <w:tcW w:w="720" w:type="dxa"/>
            <w:shd w:val="clear" w:color="auto" w:fill="FFFFFF"/>
            <w:tcMar>
              <w:top w:w="48" w:type="dxa"/>
              <w:left w:w="48" w:type="dxa"/>
              <w:bottom w:w="48" w:type="dxa"/>
              <w:right w:w="48" w:type="dxa"/>
            </w:tcMar>
            <w:hideMark/>
          </w:tcPr>
          <w:p w14:paraId="694D61A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1.4</w:t>
            </w:r>
          </w:p>
        </w:tc>
      </w:tr>
      <w:tr w:rsidR="00153816" w:rsidRPr="00EE05AA" w14:paraId="768B024B" w14:textId="77777777" w:rsidTr="006B1E56">
        <w:trPr>
          <w:gridAfter w:val="1"/>
          <w:wAfter w:w="53" w:type="dxa"/>
          <w:tblCellSpacing w:w="15" w:type="dxa"/>
        </w:trPr>
        <w:tc>
          <w:tcPr>
            <w:tcW w:w="0" w:type="auto"/>
            <w:shd w:val="clear" w:color="auto" w:fill="FFFFFF"/>
            <w:tcMar>
              <w:top w:w="48" w:type="dxa"/>
              <w:left w:w="360" w:type="dxa"/>
              <w:bottom w:w="192" w:type="dxa"/>
              <w:right w:w="48" w:type="dxa"/>
            </w:tcMar>
            <w:vAlign w:val="center"/>
            <w:hideMark/>
          </w:tcPr>
          <w:p w14:paraId="53C34625"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Age 90 and over</w:t>
            </w:r>
          </w:p>
        </w:tc>
        <w:tc>
          <w:tcPr>
            <w:tcW w:w="0" w:type="auto"/>
            <w:shd w:val="clear" w:color="auto" w:fill="FFFFFF"/>
            <w:tcMar>
              <w:top w:w="48" w:type="dxa"/>
              <w:left w:w="48" w:type="dxa"/>
              <w:bottom w:w="192" w:type="dxa"/>
              <w:right w:w="48" w:type="dxa"/>
            </w:tcMar>
            <w:hideMark/>
          </w:tcPr>
          <w:p w14:paraId="0566D35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2,226</w:t>
            </w:r>
          </w:p>
        </w:tc>
        <w:tc>
          <w:tcPr>
            <w:tcW w:w="720" w:type="dxa"/>
            <w:shd w:val="clear" w:color="auto" w:fill="FFFFFF"/>
            <w:tcMar>
              <w:top w:w="48" w:type="dxa"/>
              <w:left w:w="48" w:type="dxa"/>
              <w:bottom w:w="192" w:type="dxa"/>
              <w:right w:w="48" w:type="dxa"/>
            </w:tcMar>
            <w:hideMark/>
          </w:tcPr>
          <w:p w14:paraId="54C722B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0.8</w:t>
            </w:r>
          </w:p>
        </w:tc>
      </w:tr>
      <w:tr w:rsidR="00153816" w:rsidRPr="00EE05AA" w14:paraId="4C4B5452" w14:textId="77777777" w:rsidTr="006B1E56">
        <w:trPr>
          <w:gridAfter w:val="1"/>
          <w:wAfter w:w="53" w:type="dxa"/>
          <w:tblCellSpacing w:w="15" w:type="dxa"/>
        </w:trPr>
        <w:tc>
          <w:tcPr>
            <w:tcW w:w="0" w:type="auto"/>
            <w:tcBorders>
              <w:top w:val="single" w:sz="6" w:space="0" w:color="DDDDDD"/>
            </w:tcBorders>
            <w:shd w:val="clear" w:color="auto" w:fill="FFFFFF"/>
            <w:tcMar>
              <w:top w:w="192" w:type="dxa"/>
              <w:left w:w="48" w:type="dxa"/>
              <w:bottom w:w="48" w:type="dxa"/>
              <w:right w:w="48" w:type="dxa"/>
            </w:tcMar>
            <w:vAlign w:val="center"/>
            <w:hideMark/>
          </w:tcPr>
          <w:p w14:paraId="4DE3EC35"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Mean Age</w:t>
            </w:r>
          </w:p>
        </w:tc>
        <w:tc>
          <w:tcPr>
            <w:tcW w:w="0" w:type="auto"/>
            <w:tcBorders>
              <w:top w:val="single" w:sz="6" w:space="0" w:color="DDDDDD"/>
            </w:tcBorders>
            <w:shd w:val="clear" w:color="auto" w:fill="FFFFFF"/>
            <w:tcMar>
              <w:top w:w="192" w:type="dxa"/>
              <w:left w:w="48" w:type="dxa"/>
              <w:bottom w:w="48" w:type="dxa"/>
              <w:right w:w="48" w:type="dxa"/>
            </w:tcMar>
            <w:hideMark/>
          </w:tcPr>
          <w:p w14:paraId="3BE99BEC"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37.4</w:t>
            </w:r>
          </w:p>
        </w:tc>
        <w:tc>
          <w:tcPr>
            <w:tcW w:w="720" w:type="dxa"/>
            <w:tcBorders>
              <w:top w:val="single" w:sz="6" w:space="0" w:color="DDDDDD"/>
            </w:tcBorders>
            <w:shd w:val="clear" w:color="auto" w:fill="FFFFFF"/>
            <w:tcMar>
              <w:top w:w="192" w:type="dxa"/>
              <w:left w:w="48" w:type="dxa"/>
              <w:bottom w:w="48" w:type="dxa"/>
              <w:right w:w="48" w:type="dxa"/>
            </w:tcMar>
            <w:hideMark/>
          </w:tcPr>
          <w:p w14:paraId="0C0F9171"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vertAlign w:val="superscript"/>
              </w:rPr>
              <w:t>-</w:t>
            </w:r>
          </w:p>
        </w:tc>
      </w:tr>
    </w:tbl>
    <w:tbl>
      <w:tblPr>
        <w:tblpPr w:leftFromText="180" w:rightFromText="180" w:vertAnchor="page" w:horzAnchor="margin" w:tblpY="2867"/>
        <w:tblW w:w="9310" w:type="dxa"/>
        <w:tblCellSpacing w:w="15" w:type="dxa"/>
        <w:tblBorders>
          <w:top w:val="single" w:sz="12" w:space="0" w:color="CCCCCC"/>
          <w:bottom w:val="single" w:sz="2" w:space="0" w:color="CCCCCC"/>
        </w:tblBorders>
        <w:tblCellMar>
          <w:top w:w="15" w:type="dxa"/>
          <w:left w:w="15" w:type="dxa"/>
          <w:bottom w:w="15" w:type="dxa"/>
          <w:right w:w="15" w:type="dxa"/>
        </w:tblCellMar>
        <w:tblLook w:val="04A0" w:firstRow="1" w:lastRow="0" w:firstColumn="1" w:lastColumn="0" w:noHBand="0" w:noVBand="1"/>
      </w:tblPr>
      <w:tblGrid>
        <w:gridCol w:w="2345"/>
        <w:gridCol w:w="1771"/>
        <w:gridCol w:w="1769"/>
        <w:gridCol w:w="1701"/>
        <w:gridCol w:w="1724"/>
      </w:tblGrid>
      <w:tr w:rsidR="00153816" w:rsidRPr="00EE05AA" w14:paraId="610021DF" w14:textId="77777777" w:rsidTr="006B1E56">
        <w:trPr>
          <w:trHeight w:val="241"/>
          <w:tblHeader/>
          <w:tblCellSpacing w:w="15" w:type="dxa"/>
        </w:trPr>
        <w:tc>
          <w:tcPr>
            <w:tcW w:w="0" w:type="auto"/>
            <w:gridSpan w:val="5"/>
            <w:tcBorders>
              <w:top w:val="nil"/>
              <w:left w:val="nil"/>
              <w:bottom w:val="nil"/>
              <w:right w:val="nil"/>
            </w:tcBorders>
            <w:tcMar>
              <w:top w:w="72" w:type="dxa"/>
              <w:left w:w="30" w:type="dxa"/>
              <w:bottom w:w="72" w:type="dxa"/>
              <w:right w:w="30" w:type="dxa"/>
            </w:tcMar>
            <w:vAlign w:val="center"/>
            <w:hideMark/>
          </w:tcPr>
          <w:p w14:paraId="00EEB771" w14:textId="77777777" w:rsidR="00153816" w:rsidRPr="00EE05AA" w:rsidRDefault="00153816" w:rsidP="006B1E56">
            <w:pPr>
              <w:shd w:val="clear" w:color="auto" w:fill="F3F3F3"/>
              <w:spacing w:after="45"/>
              <w:rPr>
                <w:rFonts w:asciiTheme="majorHAnsi" w:hAnsiTheme="majorHAnsi"/>
                <w:b/>
                <w:bCs/>
                <w:color w:val="545252"/>
              </w:rPr>
            </w:pPr>
            <w:r w:rsidRPr="00EE05AA">
              <w:rPr>
                <w:rFonts w:asciiTheme="majorHAnsi" w:hAnsiTheme="majorHAnsi"/>
                <w:b/>
                <w:bCs/>
                <w:color w:val="545252"/>
              </w:rPr>
              <w:t>Population aged 16-64 (2019) Working age</w:t>
            </w:r>
          </w:p>
        </w:tc>
      </w:tr>
      <w:tr w:rsidR="00153816" w:rsidRPr="00EE05AA" w14:paraId="00CADAD9" w14:textId="77777777" w:rsidTr="006B1E56">
        <w:trPr>
          <w:trHeight w:val="362"/>
          <w:tblHeader/>
          <w:tblCellSpacing w:w="15" w:type="dxa"/>
        </w:trPr>
        <w:tc>
          <w:tcPr>
            <w:tcW w:w="2300" w:type="dxa"/>
            <w:tcBorders>
              <w:bottom w:val="dotted" w:sz="6" w:space="0" w:color="E9E6E6"/>
            </w:tcBorders>
            <w:tcMar>
              <w:top w:w="72" w:type="dxa"/>
              <w:left w:w="30" w:type="dxa"/>
              <w:bottom w:w="72" w:type="dxa"/>
              <w:right w:w="30" w:type="dxa"/>
            </w:tcMar>
            <w:hideMark/>
          </w:tcPr>
          <w:p w14:paraId="5D204E37"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 </w:t>
            </w:r>
          </w:p>
        </w:tc>
        <w:tc>
          <w:tcPr>
            <w:tcW w:w="1741" w:type="dxa"/>
            <w:tcBorders>
              <w:bottom w:val="dotted" w:sz="6" w:space="0" w:color="E9E6E6"/>
            </w:tcBorders>
            <w:tcMar>
              <w:top w:w="72" w:type="dxa"/>
              <w:left w:w="30" w:type="dxa"/>
              <w:bottom w:w="72" w:type="dxa"/>
              <w:right w:w="30" w:type="dxa"/>
            </w:tcMar>
            <w:hideMark/>
          </w:tcPr>
          <w:p w14:paraId="3B656FFE"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(Numbers)</w:t>
            </w:r>
          </w:p>
        </w:tc>
        <w:tc>
          <w:tcPr>
            <w:tcW w:w="1739" w:type="dxa"/>
            <w:tcBorders>
              <w:bottom w:val="dotted" w:sz="6" w:space="0" w:color="E9E6E6"/>
            </w:tcBorders>
            <w:tcMar>
              <w:top w:w="72" w:type="dxa"/>
              <w:left w:w="30" w:type="dxa"/>
              <w:bottom w:w="72" w:type="dxa"/>
              <w:right w:w="30" w:type="dxa"/>
            </w:tcMar>
            <w:hideMark/>
          </w:tcPr>
          <w:p w14:paraId="3D863F36"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w:t>
            </w:r>
          </w:p>
        </w:tc>
        <w:tc>
          <w:tcPr>
            <w:tcW w:w="1671" w:type="dxa"/>
            <w:tcBorders>
              <w:bottom w:val="dotted" w:sz="6" w:space="0" w:color="E9E6E6"/>
            </w:tcBorders>
            <w:tcMar>
              <w:top w:w="72" w:type="dxa"/>
              <w:left w:w="30" w:type="dxa"/>
              <w:bottom w:w="72" w:type="dxa"/>
              <w:right w:w="30" w:type="dxa"/>
            </w:tcMar>
            <w:hideMark/>
          </w:tcPr>
          <w:p w14:paraId="6233CF96"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South East</w:t>
            </w:r>
            <w:r w:rsidRPr="00EE05AA">
              <w:rPr>
                <w:rFonts w:asciiTheme="majorHAnsi" w:hAnsiTheme="majorHAnsi"/>
                <w:b/>
                <w:bCs/>
                <w:color w:val="333333"/>
              </w:rPr>
              <w:br/>
              <w:t>(%)</w:t>
            </w:r>
          </w:p>
        </w:tc>
        <w:tc>
          <w:tcPr>
            <w:tcW w:w="1679" w:type="dxa"/>
            <w:tcBorders>
              <w:bottom w:val="dotted" w:sz="6" w:space="0" w:color="E9E6E6"/>
            </w:tcBorders>
            <w:tcMar>
              <w:top w:w="72" w:type="dxa"/>
              <w:left w:w="30" w:type="dxa"/>
              <w:bottom w:w="72" w:type="dxa"/>
              <w:right w:w="30" w:type="dxa"/>
            </w:tcMar>
            <w:hideMark/>
          </w:tcPr>
          <w:p w14:paraId="78AF8694"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Great Britain</w:t>
            </w:r>
            <w:r w:rsidRPr="00EE05AA">
              <w:rPr>
                <w:rFonts w:asciiTheme="majorHAnsi" w:hAnsiTheme="majorHAnsi"/>
                <w:b/>
                <w:bCs/>
                <w:color w:val="333333"/>
              </w:rPr>
              <w:br/>
              <w:t>(%)</w:t>
            </w:r>
          </w:p>
        </w:tc>
      </w:tr>
      <w:tr w:rsidR="00153816" w:rsidRPr="00EE05AA" w14:paraId="76F110C8" w14:textId="77777777" w:rsidTr="006B1E56">
        <w:trPr>
          <w:trHeight w:val="172"/>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013A6CB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All People Aged 16-64</w:t>
            </w:r>
          </w:p>
        </w:tc>
        <w:tc>
          <w:tcPr>
            <w:tcW w:w="0" w:type="auto"/>
            <w:tcBorders>
              <w:bottom w:val="dotted" w:sz="6" w:space="0" w:color="E9E6E6"/>
            </w:tcBorders>
            <w:tcMar>
              <w:top w:w="45" w:type="dxa"/>
              <w:left w:w="45" w:type="dxa"/>
              <w:bottom w:w="45" w:type="dxa"/>
              <w:right w:w="45" w:type="dxa"/>
            </w:tcMar>
            <w:vAlign w:val="center"/>
            <w:hideMark/>
          </w:tcPr>
          <w:p w14:paraId="3969263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207,200</w:t>
            </w:r>
          </w:p>
        </w:tc>
        <w:tc>
          <w:tcPr>
            <w:tcW w:w="0" w:type="auto"/>
            <w:tcBorders>
              <w:bottom w:val="dotted" w:sz="6" w:space="0" w:color="E9E6E6"/>
            </w:tcBorders>
            <w:tcMar>
              <w:top w:w="45" w:type="dxa"/>
              <w:left w:w="45" w:type="dxa"/>
              <w:bottom w:w="45" w:type="dxa"/>
              <w:right w:w="45" w:type="dxa"/>
            </w:tcMar>
            <w:vAlign w:val="center"/>
            <w:hideMark/>
          </w:tcPr>
          <w:p w14:paraId="11EC9FE8"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71.2</w:t>
            </w:r>
          </w:p>
        </w:tc>
        <w:tc>
          <w:tcPr>
            <w:tcW w:w="0" w:type="auto"/>
            <w:tcBorders>
              <w:bottom w:val="dotted" w:sz="6" w:space="0" w:color="E9E6E6"/>
            </w:tcBorders>
            <w:tcMar>
              <w:top w:w="45" w:type="dxa"/>
              <w:left w:w="45" w:type="dxa"/>
              <w:bottom w:w="45" w:type="dxa"/>
              <w:right w:w="45" w:type="dxa"/>
            </w:tcMar>
            <w:vAlign w:val="center"/>
            <w:hideMark/>
          </w:tcPr>
          <w:p w14:paraId="3DBF32D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61.2</w:t>
            </w:r>
          </w:p>
        </w:tc>
        <w:tc>
          <w:tcPr>
            <w:tcW w:w="0" w:type="auto"/>
            <w:tcBorders>
              <w:bottom w:val="dotted" w:sz="6" w:space="0" w:color="E9E6E6"/>
            </w:tcBorders>
            <w:tcMar>
              <w:top w:w="45" w:type="dxa"/>
              <w:left w:w="45" w:type="dxa"/>
              <w:bottom w:w="45" w:type="dxa"/>
              <w:right w:w="45" w:type="dxa"/>
            </w:tcMar>
            <w:vAlign w:val="center"/>
            <w:hideMark/>
          </w:tcPr>
          <w:p w14:paraId="6B0D43D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62.5</w:t>
            </w:r>
          </w:p>
        </w:tc>
      </w:tr>
      <w:tr w:rsidR="00153816" w:rsidRPr="00EE05AA" w14:paraId="40E45C23" w14:textId="77777777" w:rsidTr="006B1E56">
        <w:trPr>
          <w:trHeight w:val="172"/>
          <w:tblCellSpacing w:w="15" w:type="dxa"/>
        </w:trPr>
        <w:tc>
          <w:tcPr>
            <w:tcW w:w="0" w:type="auto"/>
            <w:tcBorders>
              <w:bottom w:val="dotted" w:sz="6" w:space="0" w:color="E9E6E6"/>
            </w:tcBorders>
            <w:tcMar>
              <w:top w:w="72" w:type="dxa"/>
              <w:left w:w="240" w:type="dxa"/>
              <w:bottom w:w="72" w:type="dxa"/>
              <w:right w:w="0" w:type="dxa"/>
            </w:tcMar>
            <w:vAlign w:val="center"/>
            <w:hideMark/>
          </w:tcPr>
          <w:p w14:paraId="191DBBF9"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Males Aged 16-64</w:t>
            </w:r>
          </w:p>
        </w:tc>
        <w:tc>
          <w:tcPr>
            <w:tcW w:w="0" w:type="auto"/>
            <w:tcBorders>
              <w:bottom w:val="dotted" w:sz="6" w:space="0" w:color="E9E6E6"/>
            </w:tcBorders>
            <w:tcMar>
              <w:top w:w="45" w:type="dxa"/>
              <w:left w:w="45" w:type="dxa"/>
              <w:bottom w:w="45" w:type="dxa"/>
              <w:right w:w="45" w:type="dxa"/>
            </w:tcMar>
            <w:vAlign w:val="center"/>
            <w:hideMark/>
          </w:tcPr>
          <w:p w14:paraId="24C107E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105,200</w:t>
            </w:r>
          </w:p>
        </w:tc>
        <w:tc>
          <w:tcPr>
            <w:tcW w:w="0" w:type="auto"/>
            <w:tcBorders>
              <w:bottom w:val="dotted" w:sz="6" w:space="0" w:color="E9E6E6"/>
            </w:tcBorders>
            <w:tcMar>
              <w:top w:w="45" w:type="dxa"/>
              <w:left w:w="45" w:type="dxa"/>
              <w:bottom w:w="45" w:type="dxa"/>
              <w:right w:w="45" w:type="dxa"/>
            </w:tcMar>
            <w:vAlign w:val="center"/>
            <w:hideMark/>
          </w:tcPr>
          <w:p w14:paraId="1C59684A"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72.0</w:t>
            </w:r>
          </w:p>
        </w:tc>
        <w:tc>
          <w:tcPr>
            <w:tcW w:w="0" w:type="auto"/>
            <w:tcBorders>
              <w:bottom w:val="dotted" w:sz="6" w:space="0" w:color="E9E6E6"/>
            </w:tcBorders>
            <w:tcMar>
              <w:top w:w="45" w:type="dxa"/>
              <w:left w:w="45" w:type="dxa"/>
              <w:bottom w:w="45" w:type="dxa"/>
              <w:right w:w="45" w:type="dxa"/>
            </w:tcMar>
            <w:vAlign w:val="center"/>
            <w:hideMark/>
          </w:tcPr>
          <w:p w14:paraId="2D028EE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61.9</w:t>
            </w:r>
          </w:p>
        </w:tc>
        <w:tc>
          <w:tcPr>
            <w:tcW w:w="0" w:type="auto"/>
            <w:tcBorders>
              <w:bottom w:val="dotted" w:sz="6" w:space="0" w:color="E9E6E6"/>
            </w:tcBorders>
            <w:tcMar>
              <w:top w:w="45" w:type="dxa"/>
              <w:left w:w="45" w:type="dxa"/>
              <w:bottom w:w="45" w:type="dxa"/>
              <w:right w:w="45" w:type="dxa"/>
            </w:tcMar>
            <w:vAlign w:val="center"/>
            <w:hideMark/>
          </w:tcPr>
          <w:p w14:paraId="56316B0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63.1</w:t>
            </w:r>
          </w:p>
        </w:tc>
      </w:tr>
      <w:tr w:rsidR="00153816" w:rsidRPr="00EE05AA" w14:paraId="0D712596" w14:textId="77777777" w:rsidTr="006B1E56">
        <w:trPr>
          <w:trHeight w:val="172"/>
          <w:tblCellSpacing w:w="15" w:type="dxa"/>
        </w:trPr>
        <w:tc>
          <w:tcPr>
            <w:tcW w:w="0" w:type="auto"/>
            <w:tcBorders>
              <w:bottom w:val="single" w:sz="18" w:space="0" w:color="DDDDDD"/>
            </w:tcBorders>
            <w:tcMar>
              <w:top w:w="72" w:type="dxa"/>
              <w:left w:w="240" w:type="dxa"/>
              <w:bottom w:w="72" w:type="dxa"/>
              <w:right w:w="0" w:type="dxa"/>
            </w:tcMar>
            <w:hideMark/>
          </w:tcPr>
          <w:p w14:paraId="13AF8E13"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Females Aged 16-64</w:t>
            </w:r>
          </w:p>
        </w:tc>
        <w:tc>
          <w:tcPr>
            <w:tcW w:w="0" w:type="auto"/>
            <w:tcBorders>
              <w:bottom w:val="single" w:sz="18" w:space="0" w:color="DDDDDD"/>
            </w:tcBorders>
            <w:tcMar>
              <w:top w:w="45" w:type="dxa"/>
              <w:left w:w="45" w:type="dxa"/>
              <w:bottom w:w="168" w:type="dxa"/>
              <w:right w:w="45" w:type="dxa"/>
            </w:tcMar>
            <w:hideMark/>
          </w:tcPr>
          <w:p w14:paraId="50EA1CD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102,100</w:t>
            </w:r>
          </w:p>
        </w:tc>
        <w:tc>
          <w:tcPr>
            <w:tcW w:w="0" w:type="auto"/>
            <w:tcBorders>
              <w:bottom w:val="single" w:sz="18" w:space="0" w:color="DDDDDD"/>
            </w:tcBorders>
            <w:tcMar>
              <w:top w:w="45" w:type="dxa"/>
              <w:left w:w="45" w:type="dxa"/>
              <w:bottom w:w="168" w:type="dxa"/>
              <w:right w:w="45" w:type="dxa"/>
            </w:tcMar>
            <w:hideMark/>
          </w:tcPr>
          <w:p w14:paraId="4060FE7B"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70.6</w:t>
            </w:r>
          </w:p>
        </w:tc>
        <w:tc>
          <w:tcPr>
            <w:tcW w:w="0" w:type="auto"/>
            <w:tcBorders>
              <w:bottom w:val="single" w:sz="18" w:space="0" w:color="DDDDDD"/>
            </w:tcBorders>
            <w:tcMar>
              <w:top w:w="45" w:type="dxa"/>
              <w:left w:w="45" w:type="dxa"/>
              <w:bottom w:w="168" w:type="dxa"/>
              <w:right w:w="45" w:type="dxa"/>
            </w:tcMar>
            <w:hideMark/>
          </w:tcPr>
          <w:p w14:paraId="640F8C1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60.6</w:t>
            </w:r>
          </w:p>
        </w:tc>
        <w:tc>
          <w:tcPr>
            <w:tcW w:w="0" w:type="auto"/>
            <w:tcBorders>
              <w:bottom w:val="single" w:sz="18" w:space="0" w:color="DDDDDD"/>
            </w:tcBorders>
            <w:tcMar>
              <w:top w:w="45" w:type="dxa"/>
              <w:left w:w="45" w:type="dxa"/>
              <w:bottom w:w="168" w:type="dxa"/>
              <w:right w:w="45" w:type="dxa"/>
            </w:tcMar>
            <w:hideMark/>
          </w:tcPr>
          <w:p w14:paraId="437F807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61.8</w:t>
            </w:r>
          </w:p>
        </w:tc>
      </w:tr>
    </w:tbl>
    <w:p w14:paraId="48BBADBB" w14:textId="77777777" w:rsidR="00153816" w:rsidRDefault="00153816" w:rsidP="00153816">
      <w:pPr>
        <w:rPr>
          <w:rFonts w:asciiTheme="majorHAnsi" w:hAnsiTheme="majorHAnsi"/>
          <w:color w:val="000000" w:themeColor="text1"/>
        </w:rPr>
      </w:pPr>
    </w:p>
    <w:p w14:paraId="6304A849" w14:textId="77777777" w:rsidR="00153816" w:rsidRDefault="00153816" w:rsidP="00153816">
      <w:pPr>
        <w:rPr>
          <w:rFonts w:asciiTheme="majorHAnsi" w:hAnsiTheme="majorHAnsi"/>
          <w:color w:val="000000" w:themeColor="text1"/>
        </w:rPr>
      </w:pPr>
    </w:p>
    <w:p w14:paraId="44B8F20E" w14:textId="77777777" w:rsidR="00153816" w:rsidRDefault="00153816" w:rsidP="00153816">
      <w:pPr>
        <w:rPr>
          <w:rFonts w:asciiTheme="majorHAnsi" w:hAnsiTheme="majorHAnsi"/>
          <w:color w:val="000000" w:themeColor="text1"/>
        </w:rPr>
      </w:pPr>
    </w:p>
    <w:p w14:paraId="062ACE65" w14:textId="77777777" w:rsidR="00153816" w:rsidRDefault="00153816" w:rsidP="00153816">
      <w:pPr>
        <w:spacing w:line="360" w:lineRule="auto"/>
        <w:rPr>
          <w:rFonts w:asciiTheme="majorHAnsi" w:hAnsiTheme="majorHAnsi"/>
          <w:color w:val="000000" w:themeColor="text1"/>
        </w:rPr>
      </w:pPr>
    </w:p>
    <w:p w14:paraId="333C9ADC" w14:textId="77777777" w:rsidR="00153816" w:rsidRDefault="00153816" w:rsidP="00153816">
      <w:pPr>
        <w:spacing w:line="360" w:lineRule="auto"/>
        <w:rPr>
          <w:rFonts w:asciiTheme="majorHAnsi" w:hAnsiTheme="majorHAnsi"/>
          <w:color w:val="000000" w:themeColor="text1"/>
        </w:rPr>
      </w:pPr>
    </w:p>
    <w:p w14:paraId="370DBD2B" w14:textId="77777777" w:rsidR="00153816" w:rsidRPr="00D74B76" w:rsidRDefault="00153816" w:rsidP="00153816">
      <w:pPr>
        <w:spacing w:line="360" w:lineRule="auto"/>
        <w:rPr>
          <w:rFonts w:asciiTheme="majorHAnsi" w:hAnsiTheme="majorHAnsi"/>
          <w:color w:val="000000" w:themeColor="text1"/>
        </w:rPr>
      </w:pPr>
      <w:r w:rsidRPr="00D74B76">
        <w:rPr>
          <w:rFonts w:asciiTheme="majorHAnsi" w:hAnsiTheme="majorHAnsi"/>
          <w:color w:val="000000" w:themeColor="text1"/>
        </w:rPr>
        <w:t>With a relatively young population, as shown by the age distribution of the population, and given the ‘party city’ image of the local area, it is important to consider measures of deprivation. Whilst several different measures are available, the Index of Multiple Deprivation (IMD) data is presented here, along with data relating to levels of temporary accommodation in use, and house price data:</w:t>
      </w:r>
    </w:p>
    <w:p w14:paraId="251EECE5" w14:textId="77777777" w:rsidR="00153816" w:rsidRDefault="00153816" w:rsidP="00153816">
      <w:pPr>
        <w:spacing w:line="360" w:lineRule="auto"/>
        <w:rPr>
          <w:rFonts w:asciiTheme="majorHAnsi" w:hAnsiTheme="majorHAnsi"/>
          <w:color w:val="000000" w:themeColor="text1"/>
        </w:rPr>
      </w:pPr>
    </w:p>
    <w:p w14:paraId="2E72D19A" w14:textId="77777777" w:rsidR="00153816" w:rsidRDefault="00153816" w:rsidP="00153816">
      <w:pPr>
        <w:spacing w:line="360" w:lineRule="auto"/>
        <w:rPr>
          <w:rFonts w:asciiTheme="majorHAnsi" w:hAnsiTheme="majorHAnsi"/>
          <w:color w:val="000000" w:themeColor="text1"/>
        </w:rPr>
      </w:pPr>
    </w:p>
    <w:p w14:paraId="05DFD492" w14:textId="77777777" w:rsidR="00153816" w:rsidRDefault="00153816" w:rsidP="00153816">
      <w:pPr>
        <w:spacing w:line="360" w:lineRule="auto"/>
        <w:rPr>
          <w:rFonts w:asciiTheme="majorHAnsi" w:hAnsiTheme="majorHAnsi"/>
          <w:color w:val="000000" w:themeColor="text1"/>
        </w:rPr>
      </w:pPr>
    </w:p>
    <w:p w14:paraId="76EA8D6C" w14:textId="77777777" w:rsidR="00153816" w:rsidRDefault="00153816" w:rsidP="00153816">
      <w:pPr>
        <w:rPr>
          <w:rFonts w:asciiTheme="majorHAnsi" w:hAnsiTheme="majorHAnsi"/>
          <w:color w:val="000000" w:themeColor="text1"/>
        </w:rPr>
      </w:pPr>
    </w:p>
    <w:p w14:paraId="1F4064C4" w14:textId="77777777" w:rsidR="00153816" w:rsidRDefault="00153816" w:rsidP="00153816">
      <w:pPr>
        <w:rPr>
          <w:rFonts w:asciiTheme="majorHAnsi" w:hAnsiTheme="majorHAnsi"/>
          <w:color w:val="000000" w:themeColor="text1"/>
        </w:rPr>
      </w:pPr>
    </w:p>
    <w:p w14:paraId="0D35D00D" w14:textId="148BC1FB" w:rsidR="00153816" w:rsidRPr="00D74B76" w:rsidRDefault="00153816" w:rsidP="00153816">
      <w:pPr>
        <w:pStyle w:val="ListParagraph"/>
        <w:numPr>
          <w:ilvl w:val="0"/>
          <w:numId w:val="14"/>
        </w:numPr>
        <w:rPr>
          <w:rFonts w:asciiTheme="majorHAnsi" w:hAnsiTheme="majorHAnsi"/>
          <w:b/>
          <w:bCs/>
          <w:color w:val="000000" w:themeColor="text1"/>
        </w:rPr>
      </w:pPr>
    </w:p>
    <w:tbl>
      <w:tblPr>
        <w:tblW w:w="311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870"/>
        <w:gridCol w:w="980"/>
        <w:gridCol w:w="1348"/>
        <w:gridCol w:w="1305"/>
        <w:gridCol w:w="1353"/>
      </w:tblGrid>
      <w:tr w:rsidR="00153816" w:rsidRPr="00EE05AA" w14:paraId="7ACC3D34" w14:textId="77777777" w:rsidTr="006B1E56">
        <w:trPr>
          <w:trHeight w:val="243"/>
        </w:trPr>
        <w:tc>
          <w:tcPr>
            <w:tcW w:w="0" w:type="auto"/>
            <w:shd w:val="clear" w:color="auto" w:fill="D9D9D9"/>
          </w:tcPr>
          <w:p w14:paraId="647B4721"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lastRenderedPageBreak/>
              <w:t>Period</w:t>
            </w:r>
          </w:p>
        </w:tc>
        <w:tc>
          <w:tcPr>
            <w:tcW w:w="0" w:type="auto"/>
            <w:gridSpan w:val="4"/>
            <w:shd w:val="clear" w:color="auto" w:fill="D9D9D9"/>
          </w:tcPr>
          <w:p w14:paraId="6864B6F8"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29" w:history="1">
              <w:r w:rsidRPr="00EE05AA">
                <w:rPr>
                  <w:rStyle w:val="Hyperlink"/>
                  <w:rFonts w:asciiTheme="majorHAnsi" w:hAnsiTheme="majorHAnsi"/>
                  <w:sz w:val="22"/>
                  <w:szCs w:val="22"/>
                </w:rPr>
                <w:t xml:space="preserve">Households in temporary accommodation, all types (Quarterly) </w:t>
              </w:r>
            </w:hyperlink>
          </w:p>
        </w:tc>
      </w:tr>
      <w:tr w:rsidR="00153816" w:rsidRPr="00EE05AA" w14:paraId="133166D2" w14:textId="77777777" w:rsidTr="006B1E56">
        <w:trPr>
          <w:trHeight w:val="217"/>
        </w:trPr>
        <w:tc>
          <w:tcPr>
            <w:tcW w:w="0" w:type="auto"/>
            <w:shd w:val="clear" w:color="auto" w:fill="D9D9D9"/>
          </w:tcPr>
          <w:p w14:paraId="0854F06D"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3D9834E1"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Ratio per 1,000</w:t>
            </w:r>
          </w:p>
        </w:tc>
      </w:tr>
      <w:tr w:rsidR="00153816" w:rsidRPr="00EE05AA" w14:paraId="0A1BE559" w14:textId="77777777" w:rsidTr="006B1E56">
        <w:trPr>
          <w:trHeight w:val="243"/>
        </w:trPr>
        <w:tc>
          <w:tcPr>
            <w:tcW w:w="0" w:type="auto"/>
            <w:shd w:val="clear" w:color="auto" w:fill="D9D9D9"/>
          </w:tcPr>
          <w:p w14:paraId="694239EA"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2CB4A59E"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29426F8C"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0" w:type="auto"/>
            <w:shd w:val="clear" w:color="auto" w:fill="D9D9D9"/>
          </w:tcPr>
          <w:p w14:paraId="74BE1CD5"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0" w:type="auto"/>
            <w:shd w:val="clear" w:color="auto" w:fill="D9D9D9"/>
          </w:tcPr>
          <w:p w14:paraId="3C65027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771EABAB" w14:textId="77777777" w:rsidTr="006B1E56">
        <w:trPr>
          <w:trHeight w:val="243"/>
        </w:trPr>
        <w:tc>
          <w:tcPr>
            <w:tcW w:w="0" w:type="auto"/>
          </w:tcPr>
          <w:p w14:paraId="6B3A4C9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 Q3</w:t>
            </w:r>
          </w:p>
        </w:tc>
        <w:tc>
          <w:tcPr>
            <w:tcW w:w="0" w:type="auto"/>
          </w:tcPr>
          <w:p w14:paraId="36982A39"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30" w:history="1">
              <w:r w:rsidRPr="00EE05AA">
                <w:rPr>
                  <w:rStyle w:val="Hyperlink"/>
                  <w:rFonts w:asciiTheme="majorHAnsi" w:hAnsiTheme="majorHAnsi"/>
                  <w:color w:val="FF0000"/>
                  <w:sz w:val="22"/>
                  <w:szCs w:val="22"/>
                </w:rPr>
                <w:t xml:space="preserve">13.2 </w:t>
              </w:r>
            </w:hyperlink>
          </w:p>
        </w:tc>
        <w:tc>
          <w:tcPr>
            <w:tcW w:w="0" w:type="auto"/>
          </w:tcPr>
          <w:p w14:paraId="0698949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0" w:type="auto"/>
          </w:tcPr>
          <w:p w14:paraId="2688399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2.8</w:t>
            </w:r>
          </w:p>
        </w:tc>
        <w:tc>
          <w:tcPr>
            <w:tcW w:w="0" w:type="auto"/>
          </w:tcPr>
          <w:p w14:paraId="5315670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39.2</w:t>
            </w:r>
          </w:p>
        </w:tc>
      </w:tr>
      <w:tr w:rsidR="00153816" w:rsidRPr="00EE05AA" w14:paraId="20B2A667" w14:textId="77777777" w:rsidTr="006B1E56">
        <w:trPr>
          <w:trHeight w:val="217"/>
        </w:trPr>
        <w:tc>
          <w:tcPr>
            <w:tcW w:w="0" w:type="auto"/>
          </w:tcPr>
          <w:p w14:paraId="6EACB26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 Q4</w:t>
            </w:r>
          </w:p>
        </w:tc>
        <w:tc>
          <w:tcPr>
            <w:tcW w:w="0" w:type="auto"/>
          </w:tcPr>
          <w:p w14:paraId="72463B24"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31" w:history="1">
              <w:r w:rsidRPr="00EE05AA">
                <w:rPr>
                  <w:rStyle w:val="Hyperlink"/>
                  <w:rFonts w:asciiTheme="majorHAnsi" w:hAnsiTheme="majorHAnsi"/>
                  <w:color w:val="FF0000"/>
                  <w:sz w:val="22"/>
                  <w:szCs w:val="22"/>
                </w:rPr>
                <w:t xml:space="preserve">13.5 </w:t>
              </w:r>
            </w:hyperlink>
          </w:p>
        </w:tc>
        <w:tc>
          <w:tcPr>
            <w:tcW w:w="0" w:type="auto"/>
          </w:tcPr>
          <w:p w14:paraId="0B57C6C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0" w:type="auto"/>
          </w:tcPr>
          <w:p w14:paraId="4172372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2.9</w:t>
            </w:r>
          </w:p>
        </w:tc>
        <w:tc>
          <w:tcPr>
            <w:tcW w:w="0" w:type="auto"/>
          </w:tcPr>
          <w:p w14:paraId="55BBCCF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39.8</w:t>
            </w:r>
          </w:p>
        </w:tc>
      </w:tr>
      <w:tr w:rsidR="00153816" w:rsidRPr="00EE05AA" w14:paraId="3C2D5A3C" w14:textId="77777777" w:rsidTr="006B1E56">
        <w:trPr>
          <w:trHeight w:val="243"/>
        </w:trPr>
        <w:tc>
          <w:tcPr>
            <w:tcW w:w="0" w:type="auto"/>
          </w:tcPr>
          <w:p w14:paraId="00A6774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 Q1</w:t>
            </w:r>
          </w:p>
        </w:tc>
        <w:tc>
          <w:tcPr>
            <w:tcW w:w="0" w:type="auto"/>
          </w:tcPr>
          <w:p w14:paraId="0D3A27E0"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32" w:history="1">
              <w:r w:rsidRPr="00EE05AA">
                <w:rPr>
                  <w:rStyle w:val="Hyperlink"/>
                  <w:rFonts w:asciiTheme="majorHAnsi" w:hAnsiTheme="majorHAnsi"/>
                  <w:color w:val="FF0000"/>
                  <w:sz w:val="22"/>
                  <w:szCs w:val="22"/>
                </w:rPr>
                <w:t xml:space="preserve">13.5 </w:t>
              </w:r>
            </w:hyperlink>
          </w:p>
        </w:tc>
        <w:tc>
          <w:tcPr>
            <w:tcW w:w="0" w:type="auto"/>
          </w:tcPr>
          <w:p w14:paraId="0B186A6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0" w:type="auto"/>
          </w:tcPr>
          <w:p w14:paraId="42B604C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2.9</w:t>
            </w:r>
          </w:p>
        </w:tc>
        <w:tc>
          <w:tcPr>
            <w:tcW w:w="0" w:type="auto"/>
          </w:tcPr>
          <w:p w14:paraId="5BE35B2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40.7</w:t>
            </w:r>
          </w:p>
        </w:tc>
      </w:tr>
      <w:tr w:rsidR="00153816" w:rsidRPr="00EE05AA" w14:paraId="7BD07D4D" w14:textId="77777777" w:rsidTr="006B1E56">
        <w:trPr>
          <w:trHeight w:val="243"/>
        </w:trPr>
        <w:tc>
          <w:tcPr>
            <w:tcW w:w="0" w:type="auto"/>
          </w:tcPr>
          <w:p w14:paraId="32EB92E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 Q2</w:t>
            </w:r>
          </w:p>
        </w:tc>
        <w:tc>
          <w:tcPr>
            <w:tcW w:w="0" w:type="auto"/>
          </w:tcPr>
          <w:p w14:paraId="127073DA"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33" w:history="1">
              <w:r w:rsidRPr="00EE05AA">
                <w:rPr>
                  <w:rStyle w:val="Hyperlink"/>
                  <w:rFonts w:asciiTheme="majorHAnsi" w:hAnsiTheme="majorHAnsi"/>
                  <w:color w:val="FF0000"/>
                  <w:sz w:val="22"/>
                  <w:szCs w:val="22"/>
                </w:rPr>
                <w:t xml:space="preserve">13.6 </w:t>
              </w:r>
            </w:hyperlink>
          </w:p>
        </w:tc>
        <w:tc>
          <w:tcPr>
            <w:tcW w:w="0" w:type="auto"/>
          </w:tcPr>
          <w:p w14:paraId="7F193F4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0" w:type="auto"/>
          </w:tcPr>
          <w:p w14:paraId="069E1CE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3.0</w:t>
            </w:r>
          </w:p>
        </w:tc>
        <w:tc>
          <w:tcPr>
            <w:tcW w:w="0" w:type="auto"/>
          </w:tcPr>
          <w:p w14:paraId="7AC8938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41.7</w:t>
            </w:r>
          </w:p>
        </w:tc>
      </w:tr>
      <w:tr w:rsidR="00153816" w:rsidRPr="00EE05AA" w14:paraId="32C81516" w14:textId="77777777" w:rsidTr="006B1E56">
        <w:trPr>
          <w:trHeight w:val="217"/>
        </w:trPr>
        <w:tc>
          <w:tcPr>
            <w:tcW w:w="0" w:type="auto"/>
          </w:tcPr>
          <w:p w14:paraId="0863FC7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 Q3</w:t>
            </w:r>
          </w:p>
        </w:tc>
        <w:tc>
          <w:tcPr>
            <w:tcW w:w="0" w:type="auto"/>
          </w:tcPr>
          <w:p w14:paraId="7ED9470E"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34" w:history="1">
              <w:r w:rsidRPr="00EE05AA">
                <w:rPr>
                  <w:rStyle w:val="Hyperlink"/>
                  <w:rFonts w:asciiTheme="majorHAnsi" w:hAnsiTheme="majorHAnsi"/>
                  <w:color w:val="FF0000"/>
                  <w:sz w:val="22"/>
                  <w:szCs w:val="22"/>
                </w:rPr>
                <w:t xml:space="preserve">13.3 </w:t>
              </w:r>
            </w:hyperlink>
          </w:p>
        </w:tc>
        <w:tc>
          <w:tcPr>
            <w:tcW w:w="0" w:type="auto"/>
          </w:tcPr>
          <w:p w14:paraId="7087DE8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0" w:type="auto"/>
          </w:tcPr>
          <w:p w14:paraId="277066A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2.9</w:t>
            </w:r>
          </w:p>
        </w:tc>
        <w:tc>
          <w:tcPr>
            <w:tcW w:w="0" w:type="auto"/>
          </w:tcPr>
          <w:p w14:paraId="1E1F533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42.7</w:t>
            </w:r>
          </w:p>
        </w:tc>
      </w:tr>
      <w:tr w:rsidR="00153816" w:rsidRPr="00EE05AA" w14:paraId="035FB4BA" w14:textId="77777777" w:rsidTr="006B1E56">
        <w:trPr>
          <w:trHeight w:val="243"/>
        </w:trPr>
        <w:tc>
          <w:tcPr>
            <w:tcW w:w="0" w:type="auto"/>
          </w:tcPr>
          <w:p w14:paraId="40DDB7F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 Q4</w:t>
            </w:r>
          </w:p>
        </w:tc>
        <w:tc>
          <w:tcPr>
            <w:tcW w:w="0" w:type="auto"/>
          </w:tcPr>
          <w:p w14:paraId="14E884A9"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35" w:history="1">
              <w:r w:rsidRPr="00EE05AA">
                <w:rPr>
                  <w:rStyle w:val="Hyperlink"/>
                  <w:rFonts w:asciiTheme="majorHAnsi" w:hAnsiTheme="majorHAnsi"/>
                  <w:color w:val="FF0000"/>
                  <w:sz w:val="22"/>
                  <w:szCs w:val="22"/>
                </w:rPr>
                <w:t xml:space="preserve">13.6 </w:t>
              </w:r>
            </w:hyperlink>
          </w:p>
        </w:tc>
        <w:tc>
          <w:tcPr>
            <w:tcW w:w="0" w:type="auto"/>
          </w:tcPr>
          <w:p w14:paraId="373604C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0" w:type="auto"/>
          </w:tcPr>
          <w:p w14:paraId="2E617D9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3.0</w:t>
            </w:r>
          </w:p>
        </w:tc>
        <w:tc>
          <w:tcPr>
            <w:tcW w:w="0" w:type="auto"/>
          </w:tcPr>
          <w:p w14:paraId="6D1CC28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43.3</w:t>
            </w:r>
          </w:p>
        </w:tc>
      </w:tr>
    </w:tbl>
    <w:p w14:paraId="09A4E478" w14:textId="77777777" w:rsidR="00153816" w:rsidRPr="00EE05AA" w:rsidRDefault="00153816" w:rsidP="00153816">
      <w:pPr>
        <w:pStyle w:val="BodyText"/>
        <w:rPr>
          <w:rFonts w:asciiTheme="majorHAnsi" w:hAnsiTheme="majorHAnsi"/>
          <w:sz w:val="22"/>
          <w:szCs w:val="22"/>
        </w:rPr>
      </w:pPr>
    </w:p>
    <w:p w14:paraId="15DD791B" w14:textId="77777777" w:rsidR="00153816" w:rsidRPr="00D74B76" w:rsidRDefault="00153816" w:rsidP="00153816">
      <w:pPr>
        <w:pStyle w:val="BodyText"/>
        <w:rPr>
          <w:rFonts w:asciiTheme="majorHAnsi" w:hAnsiTheme="majorHAnsi"/>
          <w:sz w:val="24"/>
          <w:szCs w:val="24"/>
        </w:rPr>
      </w:pPr>
    </w:p>
    <w:p w14:paraId="6C7BCC69" w14:textId="77777777" w:rsidR="00153816" w:rsidRPr="00D74B76" w:rsidRDefault="00153816" w:rsidP="00153816">
      <w:pPr>
        <w:pStyle w:val="BodyText"/>
        <w:spacing w:line="360" w:lineRule="auto"/>
        <w:rPr>
          <w:rFonts w:asciiTheme="majorHAnsi" w:hAnsiTheme="majorHAnsi"/>
          <w:sz w:val="24"/>
          <w:szCs w:val="24"/>
        </w:rPr>
      </w:pPr>
      <w:r w:rsidRPr="00D74B76">
        <w:rPr>
          <w:rFonts w:asciiTheme="majorHAnsi" w:hAnsiTheme="majorHAnsi"/>
          <w:sz w:val="24"/>
          <w:szCs w:val="24"/>
        </w:rPr>
        <w:t>As is apparent from the table above, the reliance upon temporary accommodation within Brighton and Hove is much higher than the mean for England authorities, but not at the very highest end of the range. This, taken with the data in the table below regarding comparative house prices provides an important element of the relevant contextual data.</w:t>
      </w:r>
    </w:p>
    <w:p w14:paraId="645DBC8C" w14:textId="77777777" w:rsidR="00153816" w:rsidRPr="00EE05AA" w:rsidRDefault="00153816" w:rsidP="00153816">
      <w:pPr>
        <w:pStyle w:val="BodyText"/>
        <w:rPr>
          <w:rFonts w:asciiTheme="majorHAnsi" w:hAnsiTheme="majorHAnsi"/>
          <w:sz w:val="22"/>
          <w:szCs w:val="22"/>
        </w:rPr>
      </w:pPr>
      <w:r>
        <w:rPr>
          <w:noProof/>
        </w:rPr>
        <w:lastRenderedPageBreak/>
        <w:drawing>
          <wp:inline distT="0" distB="0" distL="0" distR="0" wp14:anchorId="6C094913" wp14:editId="3B454C92">
            <wp:extent cx="5667374" cy="5081833"/>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667374" cy="5081833"/>
                    </a:xfrm>
                    <a:prstGeom prst="rect">
                      <a:avLst/>
                    </a:prstGeom>
                  </pic:spPr>
                </pic:pic>
              </a:graphicData>
            </a:graphic>
          </wp:inline>
        </w:drawing>
      </w:r>
      <w:r w:rsidRPr="088F2921">
        <w:rPr>
          <w:rFonts w:asciiTheme="majorHAnsi" w:hAnsiTheme="majorHAnsi"/>
          <w:sz w:val="22"/>
          <w:szCs w:val="22"/>
        </w:rPr>
        <w:br w:type="page"/>
      </w:r>
    </w:p>
    <w:tbl>
      <w:tblPr>
        <w:tblpPr w:leftFromText="180" w:rightFromText="180" w:horzAnchor="margin" w:tblpX="-710" w:tblpY="-1440"/>
        <w:tblW w:w="11482" w:type="dxa"/>
        <w:tblCellSpacing w:w="15" w:type="dxa"/>
        <w:tblBorders>
          <w:top w:val="single" w:sz="12" w:space="0" w:color="CCCCCC"/>
          <w:bottom w:val="single" w:sz="2" w:space="0" w:color="CCCCCC"/>
        </w:tblBorders>
        <w:tblCellMar>
          <w:top w:w="15" w:type="dxa"/>
          <w:left w:w="15" w:type="dxa"/>
          <w:bottom w:w="15" w:type="dxa"/>
          <w:right w:w="15" w:type="dxa"/>
        </w:tblCellMar>
        <w:tblLook w:val="04A0" w:firstRow="1" w:lastRow="0" w:firstColumn="1" w:lastColumn="0" w:noHBand="0" w:noVBand="1"/>
      </w:tblPr>
      <w:tblGrid>
        <w:gridCol w:w="284"/>
        <w:gridCol w:w="142"/>
        <w:gridCol w:w="141"/>
        <w:gridCol w:w="2410"/>
        <w:gridCol w:w="142"/>
        <w:gridCol w:w="716"/>
        <w:gridCol w:w="1309"/>
        <w:gridCol w:w="250"/>
        <w:gridCol w:w="733"/>
        <w:gridCol w:w="1070"/>
        <w:gridCol w:w="935"/>
        <w:gridCol w:w="347"/>
        <w:gridCol w:w="361"/>
        <w:gridCol w:w="2504"/>
        <w:gridCol w:w="138"/>
      </w:tblGrid>
      <w:tr w:rsidR="00153816" w:rsidRPr="00EE05AA" w14:paraId="3288A00A" w14:textId="77777777" w:rsidTr="006B1E56">
        <w:trPr>
          <w:gridAfter w:val="1"/>
          <w:wAfter w:w="95" w:type="dxa"/>
          <w:tblHeader/>
          <w:tblCellSpacing w:w="15" w:type="dxa"/>
        </w:trPr>
        <w:tc>
          <w:tcPr>
            <w:tcW w:w="11297" w:type="dxa"/>
            <w:gridSpan w:val="14"/>
            <w:tcBorders>
              <w:top w:val="nil"/>
              <w:left w:val="nil"/>
              <w:bottom w:val="nil"/>
              <w:right w:val="nil"/>
            </w:tcBorders>
            <w:tcMar>
              <w:top w:w="72" w:type="dxa"/>
              <w:left w:w="30" w:type="dxa"/>
              <w:bottom w:w="72" w:type="dxa"/>
              <w:right w:w="30" w:type="dxa"/>
            </w:tcMar>
            <w:vAlign w:val="center"/>
            <w:hideMark/>
          </w:tcPr>
          <w:p w14:paraId="7B172FFB" w14:textId="77777777" w:rsidR="00153816" w:rsidRPr="00D74B76" w:rsidRDefault="00153816" w:rsidP="006B1E56">
            <w:pPr>
              <w:pStyle w:val="ListParagraph"/>
              <w:shd w:val="clear" w:color="auto" w:fill="F3F3F3"/>
              <w:spacing w:before="480" w:after="45"/>
              <w:ind w:left="929"/>
              <w:rPr>
                <w:rFonts w:asciiTheme="majorHAnsi" w:hAnsiTheme="majorHAnsi"/>
                <w:b/>
                <w:bCs/>
                <w:color w:val="545252"/>
              </w:rPr>
            </w:pPr>
          </w:p>
          <w:p w14:paraId="4398AA51" w14:textId="77777777" w:rsidR="00153816" w:rsidRPr="00D74B76" w:rsidRDefault="00153816" w:rsidP="006B1E56">
            <w:pPr>
              <w:pStyle w:val="ListParagraph"/>
              <w:numPr>
                <w:ilvl w:val="0"/>
                <w:numId w:val="14"/>
              </w:numPr>
              <w:shd w:val="clear" w:color="auto" w:fill="F3F3F3"/>
              <w:spacing w:before="480" w:after="45"/>
              <w:rPr>
                <w:rFonts w:asciiTheme="majorHAnsi" w:hAnsiTheme="majorHAnsi"/>
                <w:b/>
                <w:bCs/>
                <w:color w:val="545252"/>
              </w:rPr>
            </w:pPr>
            <w:r w:rsidRPr="00D74B76">
              <w:rPr>
                <w:rFonts w:asciiTheme="majorHAnsi" w:hAnsiTheme="majorHAnsi"/>
                <w:b/>
                <w:bCs/>
                <w:color w:val="545252"/>
              </w:rPr>
              <w:t>Employment levels and economic inactivity</w:t>
            </w:r>
          </w:p>
          <w:p w14:paraId="52CAC243" w14:textId="77777777" w:rsidR="00153816" w:rsidRPr="00D74B76" w:rsidRDefault="00153816" w:rsidP="006B1E56">
            <w:pPr>
              <w:shd w:val="clear" w:color="auto" w:fill="F3F3F3"/>
              <w:spacing w:after="45"/>
              <w:rPr>
                <w:rFonts w:asciiTheme="majorHAnsi" w:hAnsiTheme="majorHAnsi"/>
                <w:b/>
                <w:bCs/>
                <w:color w:val="545252"/>
              </w:rPr>
            </w:pPr>
          </w:p>
          <w:p w14:paraId="478B6034" w14:textId="77777777" w:rsidR="00153816" w:rsidRPr="00D74B76" w:rsidRDefault="00153816" w:rsidP="006B1E56">
            <w:pPr>
              <w:shd w:val="clear" w:color="auto" w:fill="F3F3F3"/>
              <w:spacing w:after="45"/>
              <w:rPr>
                <w:rFonts w:asciiTheme="majorHAnsi" w:hAnsiTheme="majorHAnsi"/>
                <w:b/>
                <w:bCs/>
                <w:color w:val="545252"/>
              </w:rPr>
            </w:pPr>
            <w:r w:rsidRPr="00D74B76">
              <w:rPr>
                <w:rFonts w:asciiTheme="majorHAnsi" w:hAnsiTheme="majorHAnsi"/>
                <w:b/>
                <w:bCs/>
                <w:color w:val="545252"/>
              </w:rPr>
              <w:t>Employment and unemployment (Jul 2019-Jun 2020)</w:t>
            </w:r>
          </w:p>
          <w:p w14:paraId="48F678E4" w14:textId="77777777" w:rsidR="00153816" w:rsidRPr="00D74B76" w:rsidRDefault="00153816" w:rsidP="006B1E56">
            <w:pPr>
              <w:shd w:val="clear" w:color="auto" w:fill="F3F3F3"/>
              <w:spacing w:after="45"/>
              <w:rPr>
                <w:rFonts w:asciiTheme="majorHAnsi" w:hAnsiTheme="majorHAnsi"/>
                <w:b/>
                <w:bCs/>
                <w:color w:val="545252"/>
              </w:rPr>
            </w:pPr>
          </w:p>
        </w:tc>
      </w:tr>
      <w:tr w:rsidR="00153816" w:rsidRPr="00EE05AA" w14:paraId="543875C9" w14:textId="77777777" w:rsidTr="006B1E56">
        <w:trPr>
          <w:gridBefore w:val="3"/>
          <w:wBefore w:w="522" w:type="dxa"/>
          <w:tblHeader/>
          <w:tblCellSpacing w:w="15" w:type="dxa"/>
        </w:trPr>
        <w:tc>
          <w:tcPr>
            <w:tcW w:w="2380" w:type="dxa"/>
            <w:tcBorders>
              <w:bottom w:val="dotted" w:sz="6" w:space="0" w:color="E9E6E6"/>
            </w:tcBorders>
            <w:tcMar>
              <w:top w:w="72" w:type="dxa"/>
              <w:left w:w="30" w:type="dxa"/>
              <w:bottom w:w="72" w:type="dxa"/>
              <w:right w:w="30" w:type="dxa"/>
            </w:tcMar>
            <w:hideMark/>
          </w:tcPr>
          <w:p w14:paraId="3E7077F9"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 </w:t>
            </w:r>
          </w:p>
        </w:tc>
        <w:tc>
          <w:tcPr>
            <w:tcW w:w="2399" w:type="dxa"/>
            <w:gridSpan w:val="4"/>
            <w:tcBorders>
              <w:bottom w:val="dotted" w:sz="6" w:space="0" w:color="E9E6E6"/>
            </w:tcBorders>
            <w:tcMar>
              <w:top w:w="72" w:type="dxa"/>
              <w:left w:w="30" w:type="dxa"/>
              <w:bottom w:w="72" w:type="dxa"/>
              <w:right w:w="30" w:type="dxa"/>
            </w:tcMar>
            <w:hideMark/>
          </w:tcPr>
          <w:p w14:paraId="7BB76B36"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(Numbers)</w:t>
            </w:r>
          </w:p>
        </w:tc>
        <w:tc>
          <w:tcPr>
            <w:tcW w:w="1718" w:type="dxa"/>
            <w:gridSpan w:val="2"/>
            <w:tcBorders>
              <w:bottom w:val="dotted" w:sz="6" w:space="0" w:color="E9E6E6"/>
            </w:tcBorders>
            <w:tcMar>
              <w:top w:w="72" w:type="dxa"/>
              <w:left w:w="30" w:type="dxa"/>
              <w:bottom w:w="72" w:type="dxa"/>
              <w:right w:w="30" w:type="dxa"/>
            </w:tcMar>
            <w:hideMark/>
          </w:tcPr>
          <w:p w14:paraId="4698FC10"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w:t>
            </w:r>
          </w:p>
        </w:tc>
        <w:tc>
          <w:tcPr>
            <w:tcW w:w="1260" w:type="dxa"/>
            <w:gridSpan w:val="2"/>
            <w:tcBorders>
              <w:bottom w:val="dotted" w:sz="6" w:space="0" w:color="E9E6E6"/>
            </w:tcBorders>
            <w:tcMar>
              <w:top w:w="72" w:type="dxa"/>
              <w:left w:w="30" w:type="dxa"/>
              <w:bottom w:w="72" w:type="dxa"/>
              <w:right w:w="30" w:type="dxa"/>
            </w:tcMar>
            <w:hideMark/>
          </w:tcPr>
          <w:p w14:paraId="760ADEFB"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South East</w:t>
            </w:r>
            <w:r w:rsidRPr="00EE05AA">
              <w:rPr>
                <w:rFonts w:asciiTheme="majorHAnsi" w:hAnsiTheme="majorHAnsi"/>
                <w:b/>
                <w:bCs/>
                <w:color w:val="333333"/>
              </w:rPr>
              <w:br/>
              <w:t>(%)</w:t>
            </w:r>
          </w:p>
        </w:tc>
        <w:tc>
          <w:tcPr>
            <w:tcW w:w="2993" w:type="dxa"/>
            <w:gridSpan w:val="3"/>
            <w:tcBorders>
              <w:bottom w:val="dotted" w:sz="6" w:space="0" w:color="E9E6E6"/>
            </w:tcBorders>
            <w:tcMar>
              <w:top w:w="72" w:type="dxa"/>
              <w:left w:w="30" w:type="dxa"/>
              <w:bottom w:w="72" w:type="dxa"/>
              <w:right w:w="30" w:type="dxa"/>
            </w:tcMar>
            <w:hideMark/>
          </w:tcPr>
          <w:p w14:paraId="1A1935FA" w14:textId="77777777" w:rsidR="00153816" w:rsidRPr="00EE05AA" w:rsidRDefault="00153816" w:rsidP="006B1E56">
            <w:pPr>
              <w:spacing w:before="15" w:after="15"/>
              <w:ind w:left="15" w:right="15"/>
              <w:jc w:val="center"/>
              <w:rPr>
                <w:rFonts w:asciiTheme="majorHAnsi" w:hAnsiTheme="majorHAnsi"/>
                <w:b/>
                <w:bCs/>
                <w:color w:val="333333"/>
              </w:rPr>
            </w:pPr>
            <w:r w:rsidRPr="00EE05AA">
              <w:rPr>
                <w:rFonts w:asciiTheme="majorHAnsi" w:hAnsiTheme="majorHAnsi"/>
                <w:b/>
                <w:bCs/>
                <w:color w:val="333333"/>
              </w:rPr>
              <w:t>Great Britain</w:t>
            </w:r>
            <w:r w:rsidRPr="00EE05AA">
              <w:rPr>
                <w:rFonts w:asciiTheme="majorHAnsi" w:hAnsiTheme="majorHAnsi"/>
                <w:b/>
                <w:bCs/>
                <w:color w:val="333333"/>
              </w:rPr>
              <w:br/>
              <w:t>(%)</w:t>
            </w:r>
          </w:p>
        </w:tc>
      </w:tr>
      <w:tr w:rsidR="00153816" w:rsidRPr="00EE05AA" w14:paraId="758DD03C" w14:textId="77777777" w:rsidTr="006B1E56">
        <w:trPr>
          <w:gridBefore w:val="1"/>
          <w:gridAfter w:val="1"/>
          <w:wBefore w:w="239" w:type="dxa"/>
          <w:wAfter w:w="95" w:type="dxa"/>
          <w:tblCellSpacing w:w="15" w:type="dxa"/>
        </w:trPr>
        <w:tc>
          <w:tcPr>
            <w:tcW w:w="11028" w:type="dxa"/>
            <w:gridSpan w:val="13"/>
            <w:tcBorders>
              <w:bottom w:val="single" w:sz="12" w:space="0" w:color="C0C0C0"/>
            </w:tcBorders>
            <w:tcMar>
              <w:top w:w="72" w:type="dxa"/>
              <w:left w:w="15" w:type="dxa"/>
              <w:bottom w:w="72" w:type="dxa"/>
              <w:right w:w="15" w:type="dxa"/>
            </w:tcMar>
            <w:vAlign w:val="center"/>
            <w:hideMark/>
          </w:tcPr>
          <w:p w14:paraId="150B822E"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All People</w:t>
            </w:r>
          </w:p>
        </w:tc>
      </w:tr>
      <w:tr w:rsidR="00153816" w:rsidRPr="00EE05AA" w14:paraId="54480AEB" w14:textId="77777777" w:rsidTr="006B1E56">
        <w:trPr>
          <w:gridBefore w:val="1"/>
          <w:gridAfter w:val="1"/>
          <w:wBefore w:w="239" w:type="dxa"/>
          <w:wAfter w:w="95" w:type="dxa"/>
          <w:tblCellSpacing w:w="15" w:type="dxa"/>
        </w:trPr>
        <w:tc>
          <w:tcPr>
            <w:tcW w:w="2805" w:type="dxa"/>
            <w:gridSpan w:val="4"/>
            <w:tcBorders>
              <w:bottom w:val="dotted" w:sz="6" w:space="0" w:color="E9E6E6"/>
            </w:tcBorders>
            <w:noWrap/>
            <w:tcMar>
              <w:top w:w="72" w:type="dxa"/>
              <w:left w:w="0" w:type="dxa"/>
              <w:bottom w:w="72" w:type="dxa"/>
              <w:right w:w="0" w:type="dxa"/>
            </w:tcMar>
            <w:vAlign w:val="center"/>
            <w:hideMark/>
          </w:tcPr>
          <w:p w14:paraId="5C7A9078"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Economically Active†</w:t>
            </w:r>
          </w:p>
        </w:tc>
        <w:tc>
          <w:tcPr>
            <w:tcW w:w="2257" w:type="dxa"/>
            <w:gridSpan w:val="3"/>
            <w:tcBorders>
              <w:bottom w:val="dotted" w:sz="6" w:space="0" w:color="E9E6E6"/>
            </w:tcBorders>
            <w:tcMar>
              <w:top w:w="45" w:type="dxa"/>
              <w:left w:w="45" w:type="dxa"/>
              <w:bottom w:w="45" w:type="dxa"/>
              <w:right w:w="45" w:type="dxa"/>
            </w:tcMar>
            <w:vAlign w:val="center"/>
            <w:hideMark/>
          </w:tcPr>
          <w:p w14:paraId="6505436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173,300</w:t>
            </w:r>
          </w:p>
        </w:tc>
        <w:tc>
          <w:tcPr>
            <w:tcW w:w="1718" w:type="dxa"/>
            <w:gridSpan w:val="2"/>
            <w:tcBorders>
              <w:bottom w:val="dotted" w:sz="6" w:space="0" w:color="E9E6E6"/>
            </w:tcBorders>
            <w:tcMar>
              <w:top w:w="45" w:type="dxa"/>
              <w:left w:w="45" w:type="dxa"/>
              <w:bottom w:w="45" w:type="dxa"/>
              <w:right w:w="45" w:type="dxa"/>
            </w:tcMar>
            <w:vAlign w:val="center"/>
            <w:hideMark/>
          </w:tcPr>
          <w:p w14:paraId="15F7B14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81.1</w:t>
            </w:r>
          </w:p>
        </w:tc>
        <w:tc>
          <w:tcPr>
            <w:tcW w:w="1260" w:type="dxa"/>
            <w:gridSpan w:val="2"/>
            <w:tcBorders>
              <w:bottom w:val="dotted" w:sz="6" w:space="0" w:color="E9E6E6"/>
            </w:tcBorders>
            <w:tcMar>
              <w:top w:w="45" w:type="dxa"/>
              <w:left w:w="45" w:type="dxa"/>
              <w:bottom w:w="45" w:type="dxa"/>
              <w:right w:w="45" w:type="dxa"/>
            </w:tcMar>
            <w:vAlign w:val="center"/>
            <w:hideMark/>
          </w:tcPr>
          <w:p w14:paraId="5A58584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82.2</w:t>
            </w:r>
          </w:p>
        </w:tc>
        <w:tc>
          <w:tcPr>
            <w:tcW w:w="2868" w:type="dxa"/>
            <w:gridSpan w:val="2"/>
            <w:tcBorders>
              <w:bottom w:val="dotted" w:sz="6" w:space="0" w:color="E9E6E6"/>
            </w:tcBorders>
            <w:tcMar>
              <w:top w:w="45" w:type="dxa"/>
              <w:left w:w="45" w:type="dxa"/>
              <w:bottom w:w="45" w:type="dxa"/>
              <w:right w:w="45" w:type="dxa"/>
            </w:tcMar>
            <w:vAlign w:val="center"/>
            <w:hideMark/>
          </w:tcPr>
          <w:p w14:paraId="0A3FFFE1"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79.1</w:t>
            </w:r>
          </w:p>
        </w:tc>
      </w:tr>
      <w:tr w:rsidR="00153816" w:rsidRPr="00EE05AA" w14:paraId="72FDDA60" w14:textId="77777777" w:rsidTr="006B1E56">
        <w:trPr>
          <w:gridBefore w:val="1"/>
          <w:gridAfter w:val="1"/>
          <w:wBefore w:w="239" w:type="dxa"/>
          <w:wAfter w:w="95" w:type="dxa"/>
          <w:tblCellSpacing w:w="15" w:type="dxa"/>
        </w:trPr>
        <w:tc>
          <w:tcPr>
            <w:tcW w:w="2805" w:type="dxa"/>
            <w:gridSpan w:val="4"/>
            <w:tcBorders>
              <w:bottom w:val="dotted" w:sz="6" w:space="0" w:color="E9E6E6"/>
            </w:tcBorders>
            <w:tcMar>
              <w:top w:w="72" w:type="dxa"/>
              <w:left w:w="240" w:type="dxa"/>
              <w:bottom w:w="72" w:type="dxa"/>
              <w:right w:w="0" w:type="dxa"/>
            </w:tcMar>
            <w:vAlign w:val="center"/>
            <w:hideMark/>
          </w:tcPr>
          <w:p w14:paraId="6AD7AB57"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In Employment†</w:t>
            </w:r>
          </w:p>
        </w:tc>
        <w:tc>
          <w:tcPr>
            <w:tcW w:w="2257" w:type="dxa"/>
            <w:gridSpan w:val="3"/>
            <w:tcBorders>
              <w:bottom w:val="dotted" w:sz="6" w:space="0" w:color="E9E6E6"/>
            </w:tcBorders>
            <w:tcMar>
              <w:top w:w="45" w:type="dxa"/>
              <w:left w:w="45" w:type="dxa"/>
              <w:bottom w:w="45" w:type="dxa"/>
              <w:right w:w="45" w:type="dxa"/>
            </w:tcMar>
            <w:vAlign w:val="center"/>
            <w:hideMark/>
          </w:tcPr>
          <w:p w14:paraId="6ED51DD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163,200</w:t>
            </w:r>
          </w:p>
        </w:tc>
        <w:tc>
          <w:tcPr>
            <w:tcW w:w="1718" w:type="dxa"/>
            <w:gridSpan w:val="2"/>
            <w:tcBorders>
              <w:bottom w:val="dotted" w:sz="6" w:space="0" w:color="E9E6E6"/>
            </w:tcBorders>
            <w:tcMar>
              <w:top w:w="45" w:type="dxa"/>
              <w:left w:w="45" w:type="dxa"/>
              <w:bottom w:w="45" w:type="dxa"/>
              <w:right w:w="45" w:type="dxa"/>
            </w:tcMar>
            <w:vAlign w:val="center"/>
            <w:hideMark/>
          </w:tcPr>
          <w:p w14:paraId="00E7B1D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76.3</w:t>
            </w:r>
          </w:p>
        </w:tc>
        <w:tc>
          <w:tcPr>
            <w:tcW w:w="1260" w:type="dxa"/>
            <w:gridSpan w:val="2"/>
            <w:tcBorders>
              <w:bottom w:val="dotted" w:sz="6" w:space="0" w:color="E9E6E6"/>
            </w:tcBorders>
            <w:tcMar>
              <w:top w:w="45" w:type="dxa"/>
              <w:left w:w="45" w:type="dxa"/>
              <w:bottom w:w="45" w:type="dxa"/>
              <w:right w:w="45" w:type="dxa"/>
            </w:tcMar>
            <w:vAlign w:val="center"/>
            <w:hideMark/>
          </w:tcPr>
          <w:p w14:paraId="539DE64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79.3</w:t>
            </w:r>
          </w:p>
        </w:tc>
        <w:tc>
          <w:tcPr>
            <w:tcW w:w="2868" w:type="dxa"/>
            <w:gridSpan w:val="2"/>
            <w:tcBorders>
              <w:bottom w:val="dotted" w:sz="6" w:space="0" w:color="E9E6E6"/>
            </w:tcBorders>
            <w:tcMar>
              <w:top w:w="45" w:type="dxa"/>
              <w:left w:w="45" w:type="dxa"/>
              <w:bottom w:w="45" w:type="dxa"/>
              <w:right w:w="45" w:type="dxa"/>
            </w:tcMar>
            <w:vAlign w:val="center"/>
            <w:hideMark/>
          </w:tcPr>
          <w:p w14:paraId="6B994BCD"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75.9</w:t>
            </w:r>
          </w:p>
        </w:tc>
      </w:tr>
      <w:tr w:rsidR="00153816" w:rsidRPr="00EE05AA" w14:paraId="52AD231E" w14:textId="77777777" w:rsidTr="006B1E56">
        <w:trPr>
          <w:gridBefore w:val="1"/>
          <w:gridAfter w:val="1"/>
          <w:wBefore w:w="239" w:type="dxa"/>
          <w:wAfter w:w="95" w:type="dxa"/>
          <w:tblCellSpacing w:w="15" w:type="dxa"/>
        </w:trPr>
        <w:tc>
          <w:tcPr>
            <w:tcW w:w="2805" w:type="dxa"/>
            <w:gridSpan w:val="4"/>
            <w:tcBorders>
              <w:bottom w:val="dotted" w:sz="6" w:space="0" w:color="E9E6E6"/>
            </w:tcBorders>
            <w:noWrap/>
            <w:tcMar>
              <w:top w:w="72" w:type="dxa"/>
              <w:left w:w="480" w:type="dxa"/>
              <w:bottom w:w="72" w:type="dxa"/>
              <w:right w:w="0" w:type="dxa"/>
            </w:tcMar>
            <w:vAlign w:val="center"/>
            <w:hideMark/>
          </w:tcPr>
          <w:p w14:paraId="0FAF8C17"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Employees†</w:t>
            </w:r>
          </w:p>
        </w:tc>
        <w:tc>
          <w:tcPr>
            <w:tcW w:w="2257" w:type="dxa"/>
            <w:gridSpan w:val="3"/>
            <w:tcBorders>
              <w:bottom w:val="dotted" w:sz="6" w:space="0" w:color="E9E6E6"/>
            </w:tcBorders>
            <w:tcMar>
              <w:top w:w="45" w:type="dxa"/>
              <w:left w:w="45" w:type="dxa"/>
              <w:bottom w:w="45" w:type="dxa"/>
              <w:right w:w="45" w:type="dxa"/>
            </w:tcMar>
            <w:vAlign w:val="center"/>
            <w:hideMark/>
          </w:tcPr>
          <w:p w14:paraId="5C9E018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133,200</w:t>
            </w:r>
          </w:p>
        </w:tc>
        <w:tc>
          <w:tcPr>
            <w:tcW w:w="1718" w:type="dxa"/>
            <w:gridSpan w:val="2"/>
            <w:tcBorders>
              <w:bottom w:val="dotted" w:sz="6" w:space="0" w:color="E9E6E6"/>
            </w:tcBorders>
            <w:tcMar>
              <w:top w:w="45" w:type="dxa"/>
              <w:left w:w="45" w:type="dxa"/>
              <w:bottom w:w="45" w:type="dxa"/>
              <w:right w:w="45" w:type="dxa"/>
            </w:tcMar>
            <w:vAlign w:val="center"/>
            <w:hideMark/>
          </w:tcPr>
          <w:p w14:paraId="34AD9A9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63.2</w:t>
            </w:r>
          </w:p>
        </w:tc>
        <w:tc>
          <w:tcPr>
            <w:tcW w:w="1260" w:type="dxa"/>
            <w:gridSpan w:val="2"/>
            <w:tcBorders>
              <w:bottom w:val="dotted" w:sz="6" w:space="0" w:color="E9E6E6"/>
            </w:tcBorders>
            <w:tcMar>
              <w:top w:w="45" w:type="dxa"/>
              <w:left w:w="45" w:type="dxa"/>
              <w:bottom w:w="45" w:type="dxa"/>
              <w:right w:w="45" w:type="dxa"/>
            </w:tcMar>
            <w:vAlign w:val="center"/>
            <w:hideMark/>
          </w:tcPr>
          <w:p w14:paraId="030F968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67.2</w:t>
            </w:r>
          </w:p>
        </w:tc>
        <w:tc>
          <w:tcPr>
            <w:tcW w:w="2868" w:type="dxa"/>
            <w:gridSpan w:val="2"/>
            <w:tcBorders>
              <w:bottom w:val="dotted" w:sz="6" w:space="0" w:color="E9E6E6"/>
            </w:tcBorders>
            <w:tcMar>
              <w:top w:w="45" w:type="dxa"/>
              <w:left w:w="45" w:type="dxa"/>
              <w:bottom w:w="45" w:type="dxa"/>
              <w:right w:w="45" w:type="dxa"/>
            </w:tcMar>
            <w:vAlign w:val="center"/>
            <w:hideMark/>
          </w:tcPr>
          <w:p w14:paraId="080F6BF4"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65.0</w:t>
            </w:r>
          </w:p>
        </w:tc>
      </w:tr>
      <w:tr w:rsidR="00153816" w:rsidRPr="00EE05AA" w14:paraId="18F2F954" w14:textId="77777777" w:rsidTr="006B1E56">
        <w:trPr>
          <w:gridBefore w:val="1"/>
          <w:gridAfter w:val="1"/>
          <w:wBefore w:w="239" w:type="dxa"/>
          <w:wAfter w:w="95" w:type="dxa"/>
          <w:tblCellSpacing w:w="15" w:type="dxa"/>
        </w:trPr>
        <w:tc>
          <w:tcPr>
            <w:tcW w:w="2805" w:type="dxa"/>
            <w:gridSpan w:val="4"/>
            <w:tcBorders>
              <w:bottom w:val="dotted" w:sz="6" w:space="0" w:color="E9E6E6"/>
            </w:tcBorders>
            <w:noWrap/>
            <w:tcMar>
              <w:top w:w="72" w:type="dxa"/>
              <w:left w:w="480" w:type="dxa"/>
              <w:bottom w:w="72" w:type="dxa"/>
              <w:right w:w="0" w:type="dxa"/>
            </w:tcMar>
            <w:vAlign w:val="center"/>
            <w:hideMark/>
          </w:tcPr>
          <w:p w14:paraId="57291E90"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Self Employed†</w:t>
            </w:r>
          </w:p>
        </w:tc>
        <w:tc>
          <w:tcPr>
            <w:tcW w:w="2257" w:type="dxa"/>
            <w:gridSpan w:val="3"/>
            <w:tcBorders>
              <w:bottom w:val="dotted" w:sz="6" w:space="0" w:color="E9E6E6"/>
            </w:tcBorders>
            <w:tcMar>
              <w:top w:w="45" w:type="dxa"/>
              <w:left w:w="45" w:type="dxa"/>
              <w:bottom w:w="45" w:type="dxa"/>
              <w:right w:w="45" w:type="dxa"/>
            </w:tcMar>
            <w:vAlign w:val="center"/>
            <w:hideMark/>
          </w:tcPr>
          <w:p w14:paraId="5F8661B6"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29,700</w:t>
            </w:r>
          </w:p>
        </w:tc>
        <w:tc>
          <w:tcPr>
            <w:tcW w:w="1718" w:type="dxa"/>
            <w:gridSpan w:val="2"/>
            <w:tcBorders>
              <w:bottom w:val="dotted" w:sz="6" w:space="0" w:color="E9E6E6"/>
            </w:tcBorders>
            <w:tcMar>
              <w:top w:w="45" w:type="dxa"/>
              <w:left w:w="45" w:type="dxa"/>
              <w:bottom w:w="45" w:type="dxa"/>
              <w:right w:w="45" w:type="dxa"/>
            </w:tcMar>
            <w:vAlign w:val="center"/>
            <w:hideMark/>
          </w:tcPr>
          <w:p w14:paraId="415F766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12.9</w:t>
            </w:r>
          </w:p>
        </w:tc>
        <w:tc>
          <w:tcPr>
            <w:tcW w:w="1260" w:type="dxa"/>
            <w:gridSpan w:val="2"/>
            <w:tcBorders>
              <w:bottom w:val="dotted" w:sz="6" w:space="0" w:color="E9E6E6"/>
            </w:tcBorders>
            <w:tcMar>
              <w:top w:w="45" w:type="dxa"/>
              <w:left w:w="45" w:type="dxa"/>
              <w:bottom w:w="45" w:type="dxa"/>
              <w:right w:w="45" w:type="dxa"/>
            </w:tcMar>
            <w:vAlign w:val="center"/>
            <w:hideMark/>
          </w:tcPr>
          <w:p w14:paraId="064F48B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11.8</w:t>
            </w:r>
          </w:p>
        </w:tc>
        <w:tc>
          <w:tcPr>
            <w:tcW w:w="2868" w:type="dxa"/>
            <w:gridSpan w:val="2"/>
            <w:tcBorders>
              <w:bottom w:val="dotted" w:sz="6" w:space="0" w:color="E9E6E6"/>
            </w:tcBorders>
            <w:tcMar>
              <w:top w:w="45" w:type="dxa"/>
              <w:left w:w="45" w:type="dxa"/>
              <w:bottom w:w="45" w:type="dxa"/>
              <w:right w:w="45" w:type="dxa"/>
            </w:tcMar>
            <w:vAlign w:val="center"/>
            <w:hideMark/>
          </w:tcPr>
          <w:p w14:paraId="2AA50D10"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10.7</w:t>
            </w:r>
          </w:p>
        </w:tc>
      </w:tr>
      <w:tr w:rsidR="00153816" w:rsidRPr="00EE05AA" w14:paraId="0A592BD7" w14:textId="77777777" w:rsidTr="006B1E56">
        <w:trPr>
          <w:gridBefore w:val="1"/>
          <w:gridAfter w:val="1"/>
          <w:wBefore w:w="239" w:type="dxa"/>
          <w:wAfter w:w="95" w:type="dxa"/>
          <w:tblCellSpacing w:w="15" w:type="dxa"/>
        </w:trPr>
        <w:tc>
          <w:tcPr>
            <w:tcW w:w="2805" w:type="dxa"/>
            <w:gridSpan w:val="4"/>
            <w:tcBorders>
              <w:bottom w:val="dotted" w:sz="6" w:space="0" w:color="E9E6E6"/>
            </w:tcBorders>
            <w:tcMar>
              <w:top w:w="72" w:type="dxa"/>
              <w:left w:w="240" w:type="dxa"/>
              <w:bottom w:w="72" w:type="dxa"/>
              <w:right w:w="0" w:type="dxa"/>
            </w:tcMar>
            <w:vAlign w:val="center"/>
            <w:hideMark/>
          </w:tcPr>
          <w:p w14:paraId="3C53CF2D"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Unemployed (Model-</w:t>
            </w:r>
            <w:proofErr w:type="gramStart"/>
            <w:r w:rsidRPr="00EE05AA">
              <w:rPr>
                <w:rFonts w:asciiTheme="majorHAnsi" w:hAnsiTheme="majorHAnsi"/>
                <w:color w:val="333333"/>
              </w:rPr>
              <w:t>Based)§</w:t>
            </w:r>
            <w:proofErr w:type="gramEnd"/>
          </w:p>
        </w:tc>
        <w:tc>
          <w:tcPr>
            <w:tcW w:w="2257" w:type="dxa"/>
            <w:gridSpan w:val="3"/>
            <w:tcBorders>
              <w:bottom w:val="dotted" w:sz="6" w:space="0" w:color="E9E6E6"/>
            </w:tcBorders>
            <w:tcMar>
              <w:top w:w="45" w:type="dxa"/>
              <w:left w:w="45" w:type="dxa"/>
              <w:bottom w:w="45" w:type="dxa"/>
              <w:right w:w="45" w:type="dxa"/>
            </w:tcMar>
            <w:vAlign w:val="center"/>
            <w:hideMark/>
          </w:tcPr>
          <w:p w14:paraId="763FCC0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8,800</w:t>
            </w:r>
          </w:p>
        </w:tc>
        <w:tc>
          <w:tcPr>
            <w:tcW w:w="1718" w:type="dxa"/>
            <w:gridSpan w:val="2"/>
            <w:tcBorders>
              <w:bottom w:val="dotted" w:sz="6" w:space="0" w:color="E9E6E6"/>
            </w:tcBorders>
            <w:tcMar>
              <w:top w:w="45" w:type="dxa"/>
              <w:left w:w="45" w:type="dxa"/>
              <w:bottom w:w="45" w:type="dxa"/>
              <w:right w:w="45" w:type="dxa"/>
            </w:tcMar>
            <w:vAlign w:val="center"/>
            <w:hideMark/>
          </w:tcPr>
          <w:p w14:paraId="088260B1"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5.1</w:t>
            </w:r>
          </w:p>
        </w:tc>
        <w:tc>
          <w:tcPr>
            <w:tcW w:w="1260" w:type="dxa"/>
            <w:gridSpan w:val="2"/>
            <w:tcBorders>
              <w:bottom w:val="dotted" w:sz="6" w:space="0" w:color="E9E6E6"/>
            </w:tcBorders>
            <w:tcMar>
              <w:top w:w="45" w:type="dxa"/>
              <w:left w:w="45" w:type="dxa"/>
              <w:bottom w:w="45" w:type="dxa"/>
              <w:right w:w="45" w:type="dxa"/>
            </w:tcMar>
            <w:vAlign w:val="center"/>
            <w:hideMark/>
          </w:tcPr>
          <w:p w14:paraId="0CC4127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3.4</w:t>
            </w:r>
          </w:p>
        </w:tc>
        <w:tc>
          <w:tcPr>
            <w:tcW w:w="2868" w:type="dxa"/>
            <w:gridSpan w:val="2"/>
            <w:tcBorders>
              <w:bottom w:val="dotted" w:sz="6" w:space="0" w:color="E9E6E6"/>
            </w:tcBorders>
            <w:tcMar>
              <w:top w:w="45" w:type="dxa"/>
              <w:left w:w="45" w:type="dxa"/>
              <w:bottom w:w="45" w:type="dxa"/>
              <w:right w:w="45" w:type="dxa"/>
            </w:tcMar>
            <w:vAlign w:val="center"/>
            <w:hideMark/>
          </w:tcPr>
          <w:p w14:paraId="590405A3"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3.9</w:t>
            </w:r>
          </w:p>
        </w:tc>
      </w:tr>
      <w:tr w:rsidR="00153816" w:rsidRPr="00EE05AA" w14:paraId="2D99F901" w14:textId="77777777" w:rsidTr="006B1E56">
        <w:trPr>
          <w:gridBefore w:val="1"/>
          <w:gridAfter w:val="1"/>
          <w:wBefore w:w="239" w:type="dxa"/>
          <w:wAfter w:w="95" w:type="dxa"/>
          <w:tblCellSpacing w:w="15" w:type="dxa"/>
        </w:trPr>
        <w:tc>
          <w:tcPr>
            <w:tcW w:w="11028" w:type="dxa"/>
            <w:gridSpan w:val="13"/>
            <w:tcBorders>
              <w:bottom w:val="single" w:sz="12" w:space="0" w:color="C0C0C0"/>
            </w:tcBorders>
            <w:tcMar>
              <w:top w:w="72" w:type="dxa"/>
              <w:left w:w="15" w:type="dxa"/>
              <w:bottom w:w="72" w:type="dxa"/>
              <w:right w:w="15" w:type="dxa"/>
            </w:tcMar>
            <w:vAlign w:val="center"/>
            <w:hideMark/>
          </w:tcPr>
          <w:p w14:paraId="19F3809E" w14:textId="77777777" w:rsidR="00153816" w:rsidRPr="00EE05AA" w:rsidRDefault="00153816" w:rsidP="006B1E56">
            <w:pPr>
              <w:rPr>
                <w:rFonts w:asciiTheme="majorHAnsi" w:hAnsiTheme="majorHAnsi"/>
                <w:color w:val="333333"/>
                <w:highlight w:val="yellow"/>
              </w:rPr>
            </w:pPr>
            <w:r w:rsidRPr="00EE05AA">
              <w:rPr>
                <w:rFonts w:asciiTheme="majorHAnsi" w:hAnsiTheme="majorHAnsi"/>
                <w:color w:val="333333"/>
                <w:highlight w:val="yellow"/>
              </w:rPr>
              <w:t>Males</w:t>
            </w:r>
          </w:p>
        </w:tc>
      </w:tr>
      <w:tr w:rsidR="00153816" w:rsidRPr="00EE05AA" w14:paraId="4B0C8FBA" w14:textId="77777777" w:rsidTr="006B1E56">
        <w:trPr>
          <w:gridBefore w:val="1"/>
          <w:gridAfter w:val="1"/>
          <w:wBefore w:w="239" w:type="dxa"/>
          <w:wAfter w:w="95" w:type="dxa"/>
          <w:tblCellSpacing w:w="15" w:type="dxa"/>
        </w:trPr>
        <w:tc>
          <w:tcPr>
            <w:tcW w:w="2805" w:type="dxa"/>
            <w:gridSpan w:val="4"/>
            <w:tcBorders>
              <w:bottom w:val="dotted" w:sz="6" w:space="0" w:color="E9E6E6"/>
            </w:tcBorders>
            <w:noWrap/>
            <w:tcMar>
              <w:top w:w="72" w:type="dxa"/>
              <w:left w:w="0" w:type="dxa"/>
              <w:bottom w:w="72" w:type="dxa"/>
              <w:right w:w="0" w:type="dxa"/>
            </w:tcMar>
            <w:vAlign w:val="center"/>
            <w:hideMark/>
          </w:tcPr>
          <w:p w14:paraId="06F25968" w14:textId="77777777" w:rsidR="00153816" w:rsidRPr="00EE05AA" w:rsidRDefault="00153816" w:rsidP="006B1E56">
            <w:pPr>
              <w:rPr>
                <w:rFonts w:asciiTheme="majorHAnsi" w:hAnsiTheme="majorHAnsi"/>
                <w:color w:val="333333"/>
                <w:highlight w:val="yellow"/>
              </w:rPr>
            </w:pPr>
            <w:r w:rsidRPr="00EE05AA">
              <w:rPr>
                <w:rFonts w:asciiTheme="majorHAnsi" w:hAnsiTheme="majorHAnsi"/>
                <w:color w:val="333333"/>
                <w:highlight w:val="yellow"/>
              </w:rPr>
              <w:t>Economically Active</w:t>
            </w:r>
          </w:p>
        </w:tc>
        <w:tc>
          <w:tcPr>
            <w:tcW w:w="2257" w:type="dxa"/>
            <w:gridSpan w:val="3"/>
            <w:tcBorders>
              <w:bottom w:val="dotted" w:sz="6" w:space="0" w:color="E9E6E6"/>
            </w:tcBorders>
            <w:tcMar>
              <w:top w:w="45" w:type="dxa"/>
              <w:left w:w="45" w:type="dxa"/>
              <w:bottom w:w="45" w:type="dxa"/>
              <w:right w:w="45" w:type="dxa"/>
            </w:tcMar>
            <w:vAlign w:val="center"/>
            <w:hideMark/>
          </w:tcPr>
          <w:p w14:paraId="1A5CAD8C"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88,800</w:t>
            </w:r>
          </w:p>
        </w:tc>
        <w:tc>
          <w:tcPr>
            <w:tcW w:w="1718" w:type="dxa"/>
            <w:gridSpan w:val="2"/>
            <w:tcBorders>
              <w:bottom w:val="dotted" w:sz="6" w:space="0" w:color="E9E6E6"/>
            </w:tcBorders>
            <w:tcMar>
              <w:top w:w="45" w:type="dxa"/>
              <w:left w:w="45" w:type="dxa"/>
              <w:bottom w:w="45" w:type="dxa"/>
              <w:right w:w="45" w:type="dxa"/>
            </w:tcMar>
            <w:vAlign w:val="center"/>
            <w:hideMark/>
          </w:tcPr>
          <w:p w14:paraId="707A8143"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82.3</w:t>
            </w:r>
          </w:p>
        </w:tc>
        <w:tc>
          <w:tcPr>
            <w:tcW w:w="1260" w:type="dxa"/>
            <w:gridSpan w:val="2"/>
            <w:tcBorders>
              <w:bottom w:val="dotted" w:sz="6" w:space="0" w:color="E9E6E6"/>
            </w:tcBorders>
            <w:tcMar>
              <w:top w:w="45" w:type="dxa"/>
              <w:left w:w="45" w:type="dxa"/>
              <w:bottom w:w="45" w:type="dxa"/>
              <w:right w:w="45" w:type="dxa"/>
            </w:tcMar>
            <w:vAlign w:val="center"/>
            <w:hideMark/>
          </w:tcPr>
          <w:p w14:paraId="26BDEA64"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85.5</w:t>
            </w:r>
          </w:p>
        </w:tc>
        <w:tc>
          <w:tcPr>
            <w:tcW w:w="2868" w:type="dxa"/>
            <w:gridSpan w:val="2"/>
            <w:tcBorders>
              <w:bottom w:val="dotted" w:sz="6" w:space="0" w:color="E9E6E6"/>
            </w:tcBorders>
            <w:tcMar>
              <w:top w:w="45" w:type="dxa"/>
              <w:left w:w="45" w:type="dxa"/>
              <w:bottom w:w="45" w:type="dxa"/>
              <w:right w:w="45" w:type="dxa"/>
            </w:tcMar>
            <w:vAlign w:val="center"/>
            <w:hideMark/>
          </w:tcPr>
          <w:p w14:paraId="5ED5CC54" w14:textId="77777777" w:rsidR="00153816" w:rsidRPr="00EE05AA" w:rsidRDefault="00153816" w:rsidP="006B1E56">
            <w:pPr>
              <w:jc w:val="center"/>
              <w:rPr>
                <w:rFonts w:asciiTheme="majorHAnsi" w:hAnsiTheme="majorHAnsi"/>
                <w:color w:val="333333"/>
                <w:highlight w:val="yellow"/>
              </w:rPr>
            </w:pPr>
            <w:r w:rsidRPr="00EE05AA">
              <w:rPr>
                <w:rFonts w:asciiTheme="majorHAnsi" w:hAnsiTheme="majorHAnsi"/>
                <w:color w:val="333333"/>
                <w:highlight w:val="yellow"/>
              </w:rPr>
              <w:t>83.2</w:t>
            </w:r>
          </w:p>
        </w:tc>
      </w:tr>
      <w:tr w:rsidR="00153816" w:rsidRPr="00EE05AA" w14:paraId="44037415" w14:textId="77777777" w:rsidTr="006B1E56">
        <w:trPr>
          <w:gridBefore w:val="1"/>
          <w:gridAfter w:val="1"/>
          <w:wBefore w:w="239" w:type="dxa"/>
          <w:wAfter w:w="95" w:type="dxa"/>
          <w:tblCellSpacing w:w="15" w:type="dxa"/>
        </w:trPr>
        <w:tc>
          <w:tcPr>
            <w:tcW w:w="2805" w:type="dxa"/>
            <w:gridSpan w:val="4"/>
            <w:tcBorders>
              <w:bottom w:val="dotted" w:sz="6" w:space="0" w:color="E9E6E6"/>
            </w:tcBorders>
            <w:tcMar>
              <w:top w:w="72" w:type="dxa"/>
              <w:left w:w="240" w:type="dxa"/>
              <w:bottom w:w="72" w:type="dxa"/>
              <w:right w:w="0" w:type="dxa"/>
            </w:tcMar>
            <w:vAlign w:val="center"/>
            <w:hideMark/>
          </w:tcPr>
          <w:p w14:paraId="3BF2AAE9" w14:textId="77777777" w:rsidR="00153816" w:rsidRPr="00EE05AA" w:rsidRDefault="00153816" w:rsidP="006B1E56">
            <w:pPr>
              <w:rPr>
                <w:rFonts w:asciiTheme="majorHAnsi" w:hAnsiTheme="majorHAnsi"/>
                <w:color w:val="333333"/>
                <w:highlight w:val="yellow"/>
              </w:rPr>
            </w:pPr>
            <w:r w:rsidRPr="00EE05AA">
              <w:rPr>
                <w:rFonts w:asciiTheme="majorHAnsi" w:hAnsiTheme="majorHAnsi"/>
                <w:color w:val="333333"/>
                <w:highlight w:val="yellow"/>
              </w:rPr>
              <w:t>In Employment</w:t>
            </w:r>
            <w:r w:rsidRPr="00EE05AA">
              <w:rPr>
                <w:rStyle w:val="apple-converted-space"/>
                <w:rFonts w:asciiTheme="majorHAnsi" w:hAnsiTheme="majorHAnsi"/>
                <w:color w:val="333333"/>
                <w:highlight w:val="yellow"/>
              </w:rPr>
              <w:t> </w:t>
            </w:r>
          </w:p>
        </w:tc>
        <w:tc>
          <w:tcPr>
            <w:tcW w:w="2257" w:type="dxa"/>
            <w:gridSpan w:val="3"/>
            <w:tcBorders>
              <w:bottom w:val="dotted" w:sz="6" w:space="0" w:color="E9E6E6"/>
            </w:tcBorders>
            <w:tcMar>
              <w:top w:w="45" w:type="dxa"/>
              <w:left w:w="45" w:type="dxa"/>
              <w:bottom w:w="45" w:type="dxa"/>
              <w:right w:w="45" w:type="dxa"/>
            </w:tcMar>
            <w:vAlign w:val="center"/>
            <w:hideMark/>
          </w:tcPr>
          <w:p w14:paraId="67938C67"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83,400</w:t>
            </w:r>
          </w:p>
        </w:tc>
        <w:tc>
          <w:tcPr>
            <w:tcW w:w="1718" w:type="dxa"/>
            <w:gridSpan w:val="2"/>
            <w:tcBorders>
              <w:bottom w:val="dotted" w:sz="6" w:space="0" w:color="E9E6E6"/>
            </w:tcBorders>
            <w:tcMar>
              <w:top w:w="45" w:type="dxa"/>
              <w:left w:w="45" w:type="dxa"/>
              <w:bottom w:w="45" w:type="dxa"/>
              <w:right w:w="45" w:type="dxa"/>
            </w:tcMar>
            <w:vAlign w:val="center"/>
            <w:hideMark/>
          </w:tcPr>
          <w:p w14:paraId="227E2A81" w14:textId="77777777" w:rsidR="00153816" w:rsidRPr="00EE05AA" w:rsidRDefault="00153816" w:rsidP="006B1E56">
            <w:pPr>
              <w:jc w:val="right"/>
              <w:rPr>
                <w:rFonts w:asciiTheme="majorHAnsi" w:hAnsiTheme="majorHAnsi"/>
                <w:color w:val="FF0000"/>
                <w:highlight w:val="yellow"/>
              </w:rPr>
            </w:pPr>
            <w:r w:rsidRPr="00EE05AA">
              <w:rPr>
                <w:rFonts w:asciiTheme="majorHAnsi" w:hAnsiTheme="majorHAnsi"/>
                <w:color w:val="FF0000"/>
                <w:highlight w:val="yellow"/>
              </w:rPr>
              <w:t>77.1</w:t>
            </w:r>
          </w:p>
        </w:tc>
        <w:tc>
          <w:tcPr>
            <w:tcW w:w="1260" w:type="dxa"/>
            <w:gridSpan w:val="2"/>
            <w:tcBorders>
              <w:bottom w:val="dotted" w:sz="6" w:space="0" w:color="E9E6E6"/>
            </w:tcBorders>
            <w:tcMar>
              <w:top w:w="45" w:type="dxa"/>
              <w:left w:w="45" w:type="dxa"/>
              <w:bottom w:w="45" w:type="dxa"/>
              <w:right w:w="45" w:type="dxa"/>
            </w:tcMar>
            <w:vAlign w:val="center"/>
            <w:hideMark/>
          </w:tcPr>
          <w:p w14:paraId="5D315D98"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82.4</w:t>
            </w:r>
          </w:p>
        </w:tc>
        <w:tc>
          <w:tcPr>
            <w:tcW w:w="2868" w:type="dxa"/>
            <w:gridSpan w:val="2"/>
            <w:tcBorders>
              <w:bottom w:val="dotted" w:sz="6" w:space="0" w:color="E9E6E6"/>
            </w:tcBorders>
            <w:tcMar>
              <w:top w:w="45" w:type="dxa"/>
              <w:left w:w="45" w:type="dxa"/>
              <w:bottom w:w="45" w:type="dxa"/>
              <w:right w:w="45" w:type="dxa"/>
            </w:tcMar>
            <w:vAlign w:val="center"/>
            <w:hideMark/>
          </w:tcPr>
          <w:p w14:paraId="49E07C0A" w14:textId="77777777" w:rsidR="00153816" w:rsidRPr="00EE05AA" w:rsidRDefault="00153816" w:rsidP="006B1E56">
            <w:pPr>
              <w:jc w:val="center"/>
              <w:rPr>
                <w:rFonts w:asciiTheme="majorHAnsi" w:hAnsiTheme="majorHAnsi"/>
                <w:color w:val="333333"/>
                <w:highlight w:val="yellow"/>
              </w:rPr>
            </w:pPr>
            <w:r w:rsidRPr="00EE05AA">
              <w:rPr>
                <w:rFonts w:asciiTheme="majorHAnsi" w:hAnsiTheme="majorHAnsi"/>
                <w:color w:val="333333"/>
                <w:highlight w:val="yellow"/>
              </w:rPr>
              <w:t>79.6</w:t>
            </w:r>
          </w:p>
        </w:tc>
      </w:tr>
      <w:tr w:rsidR="00153816" w:rsidRPr="00EE05AA" w14:paraId="77459F2E" w14:textId="77777777" w:rsidTr="006B1E56">
        <w:trPr>
          <w:gridBefore w:val="1"/>
          <w:gridAfter w:val="1"/>
          <w:wBefore w:w="239" w:type="dxa"/>
          <w:wAfter w:w="95" w:type="dxa"/>
          <w:tblCellSpacing w:w="15" w:type="dxa"/>
        </w:trPr>
        <w:tc>
          <w:tcPr>
            <w:tcW w:w="2805" w:type="dxa"/>
            <w:gridSpan w:val="4"/>
            <w:tcBorders>
              <w:bottom w:val="dotted" w:sz="6" w:space="0" w:color="E9E6E6"/>
            </w:tcBorders>
            <w:shd w:val="clear" w:color="auto" w:fill="EDEDED"/>
            <w:noWrap/>
            <w:tcMar>
              <w:top w:w="72" w:type="dxa"/>
              <w:left w:w="480" w:type="dxa"/>
              <w:bottom w:w="72" w:type="dxa"/>
              <w:right w:w="0" w:type="dxa"/>
            </w:tcMar>
            <w:vAlign w:val="center"/>
            <w:hideMark/>
          </w:tcPr>
          <w:p w14:paraId="53892B69" w14:textId="77777777" w:rsidR="00153816" w:rsidRPr="00EE05AA" w:rsidRDefault="00153816" w:rsidP="006B1E56">
            <w:pPr>
              <w:rPr>
                <w:rFonts w:asciiTheme="majorHAnsi" w:hAnsiTheme="majorHAnsi"/>
                <w:color w:val="333333"/>
                <w:highlight w:val="yellow"/>
              </w:rPr>
            </w:pPr>
            <w:r w:rsidRPr="00EE05AA">
              <w:rPr>
                <w:rFonts w:asciiTheme="majorHAnsi" w:hAnsiTheme="majorHAnsi"/>
                <w:color w:val="333333"/>
                <w:highlight w:val="yellow"/>
              </w:rPr>
              <w:t>Employees</w:t>
            </w:r>
          </w:p>
        </w:tc>
        <w:tc>
          <w:tcPr>
            <w:tcW w:w="2257" w:type="dxa"/>
            <w:gridSpan w:val="3"/>
            <w:tcBorders>
              <w:bottom w:val="dotted" w:sz="6" w:space="0" w:color="E9E6E6"/>
            </w:tcBorders>
            <w:shd w:val="clear" w:color="auto" w:fill="EDEDED"/>
            <w:tcMar>
              <w:top w:w="45" w:type="dxa"/>
              <w:left w:w="45" w:type="dxa"/>
              <w:bottom w:w="45" w:type="dxa"/>
              <w:right w:w="45" w:type="dxa"/>
            </w:tcMar>
            <w:vAlign w:val="center"/>
            <w:hideMark/>
          </w:tcPr>
          <w:p w14:paraId="5053368E"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64,300</w:t>
            </w:r>
          </w:p>
        </w:tc>
        <w:tc>
          <w:tcPr>
            <w:tcW w:w="1718" w:type="dxa"/>
            <w:gridSpan w:val="2"/>
            <w:tcBorders>
              <w:bottom w:val="dotted" w:sz="6" w:space="0" w:color="E9E6E6"/>
            </w:tcBorders>
            <w:shd w:val="clear" w:color="auto" w:fill="EDEDED"/>
            <w:tcMar>
              <w:top w:w="45" w:type="dxa"/>
              <w:left w:w="45" w:type="dxa"/>
              <w:bottom w:w="45" w:type="dxa"/>
              <w:right w:w="45" w:type="dxa"/>
            </w:tcMar>
            <w:vAlign w:val="center"/>
            <w:hideMark/>
          </w:tcPr>
          <w:p w14:paraId="2360D681" w14:textId="77777777" w:rsidR="00153816" w:rsidRPr="00EE05AA" w:rsidRDefault="00153816" w:rsidP="006B1E56">
            <w:pPr>
              <w:jc w:val="right"/>
              <w:rPr>
                <w:rFonts w:asciiTheme="majorHAnsi" w:hAnsiTheme="majorHAnsi"/>
                <w:color w:val="FF0000"/>
                <w:highlight w:val="yellow"/>
              </w:rPr>
            </w:pPr>
            <w:r w:rsidRPr="00EE05AA">
              <w:rPr>
                <w:rFonts w:asciiTheme="majorHAnsi" w:hAnsiTheme="majorHAnsi"/>
                <w:color w:val="FF0000"/>
                <w:highlight w:val="yellow"/>
              </w:rPr>
              <w:t>60.6</w:t>
            </w:r>
          </w:p>
        </w:tc>
        <w:tc>
          <w:tcPr>
            <w:tcW w:w="1260" w:type="dxa"/>
            <w:gridSpan w:val="2"/>
            <w:tcBorders>
              <w:bottom w:val="dotted" w:sz="6" w:space="0" w:color="E9E6E6"/>
            </w:tcBorders>
            <w:shd w:val="clear" w:color="auto" w:fill="EDEDED"/>
            <w:tcMar>
              <w:top w:w="45" w:type="dxa"/>
              <w:left w:w="45" w:type="dxa"/>
              <w:bottom w:w="45" w:type="dxa"/>
              <w:right w:w="45" w:type="dxa"/>
            </w:tcMar>
            <w:vAlign w:val="center"/>
            <w:hideMark/>
          </w:tcPr>
          <w:p w14:paraId="5511E270"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67.3</w:t>
            </w:r>
          </w:p>
        </w:tc>
        <w:tc>
          <w:tcPr>
            <w:tcW w:w="2868" w:type="dxa"/>
            <w:gridSpan w:val="2"/>
            <w:tcBorders>
              <w:bottom w:val="dotted" w:sz="6" w:space="0" w:color="E9E6E6"/>
            </w:tcBorders>
            <w:shd w:val="clear" w:color="auto" w:fill="EDEDED"/>
            <w:tcMar>
              <w:top w:w="45" w:type="dxa"/>
              <w:left w:w="45" w:type="dxa"/>
              <w:bottom w:w="45" w:type="dxa"/>
              <w:right w:w="45" w:type="dxa"/>
            </w:tcMar>
            <w:vAlign w:val="center"/>
            <w:hideMark/>
          </w:tcPr>
          <w:p w14:paraId="2A28B8C8" w14:textId="77777777" w:rsidR="00153816" w:rsidRPr="00EE05AA" w:rsidRDefault="00153816" w:rsidP="006B1E56">
            <w:pPr>
              <w:jc w:val="center"/>
              <w:rPr>
                <w:rFonts w:asciiTheme="majorHAnsi" w:hAnsiTheme="majorHAnsi"/>
                <w:color w:val="333333"/>
                <w:highlight w:val="yellow"/>
              </w:rPr>
            </w:pPr>
            <w:r w:rsidRPr="00EE05AA">
              <w:rPr>
                <w:rFonts w:asciiTheme="majorHAnsi" w:hAnsiTheme="majorHAnsi"/>
                <w:color w:val="333333"/>
                <w:highlight w:val="yellow"/>
              </w:rPr>
              <w:t>65.4</w:t>
            </w:r>
          </w:p>
        </w:tc>
      </w:tr>
      <w:tr w:rsidR="00153816" w:rsidRPr="00EE05AA" w14:paraId="21865EB2" w14:textId="77777777" w:rsidTr="006B1E56">
        <w:trPr>
          <w:gridBefore w:val="1"/>
          <w:gridAfter w:val="1"/>
          <w:wBefore w:w="239" w:type="dxa"/>
          <w:wAfter w:w="95" w:type="dxa"/>
          <w:tblCellSpacing w:w="15" w:type="dxa"/>
        </w:trPr>
        <w:tc>
          <w:tcPr>
            <w:tcW w:w="2805" w:type="dxa"/>
            <w:gridSpan w:val="4"/>
            <w:tcBorders>
              <w:bottom w:val="dotted" w:sz="6" w:space="0" w:color="E9E6E6"/>
            </w:tcBorders>
            <w:noWrap/>
            <w:tcMar>
              <w:top w:w="72" w:type="dxa"/>
              <w:left w:w="480" w:type="dxa"/>
              <w:bottom w:w="72" w:type="dxa"/>
              <w:right w:w="0" w:type="dxa"/>
            </w:tcMar>
            <w:vAlign w:val="center"/>
            <w:hideMark/>
          </w:tcPr>
          <w:p w14:paraId="44F88F56" w14:textId="77777777" w:rsidR="00153816" w:rsidRPr="00EE05AA" w:rsidRDefault="00153816" w:rsidP="006B1E56">
            <w:pPr>
              <w:rPr>
                <w:rFonts w:asciiTheme="majorHAnsi" w:hAnsiTheme="majorHAnsi"/>
                <w:color w:val="333333"/>
                <w:highlight w:val="yellow"/>
              </w:rPr>
            </w:pPr>
            <w:r w:rsidRPr="00EE05AA">
              <w:rPr>
                <w:rFonts w:asciiTheme="majorHAnsi" w:hAnsiTheme="majorHAnsi"/>
                <w:color w:val="333333"/>
                <w:highlight w:val="yellow"/>
              </w:rPr>
              <w:t>Self Employed</w:t>
            </w:r>
          </w:p>
        </w:tc>
        <w:tc>
          <w:tcPr>
            <w:tcW w:w="2257" w:type="dxa"/>
            <w:gridSpan w:val="3"/>
            <w:tcBorders>
              <w:bottom w:val="dotted" w:sz="6" w:space="0" w:color="E9E6E6"/>
            </w:tcBorders>
            <w:tcMar>
              <w:top w:w="45" w:type="dxa"/>
              <w:left w:w="45" w:type="dxa"/>
              <w:bottom w:w="45" w:type="dxa"/>
              <w:right w:w="45" w:type="dxa"/>
            </w:tcMar>
            <w:vAlign w:val="center"/>
            <w:hideMark/>
          </w:tcPr>
          <w:p w14:paraId="0E9FB82D"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19,200</w:t>
            </w:r>
          </w:p>
        </w:tc>
        <w:tc>
          <w:tcPr>
            <w:tcW w:w="1718" w:type="dxa"/>
            <w:gridSpan w:val="2"/>
            <w:tcBorders>
              <w:bottom w:val="dotted" w:sz="6" w:space="0" w:color="E9E6E6"/>
            </w:tcBorders>
            <w:tcMar>
              <w:top w:w="45" w:type="dxa"/>
              <w:left w:w="45" w:type="dxa"/>
              <w:bottom w:w="45" w:type="dxa"/>
              <w:right w:w="45" w:type="dxa"/>
            </w:tcMar>
            <w:vAlign w:val="center"/>
            <w:hideMark/>
          </w:tcPr>
          <w:p w14:paraId="20695956" w14:textId="77777777" w:rsidR="00153816" w:rsidRPr="00EE05AA" w:rsidRDefault="00153816" w:rsidP="006B1E56">
            <w:pPr>
              <w:jc w:val="right"/>
              <w:rPr>
                <w:rFonts w:asciiTheme="majorHAnsi" w:hAnsiTheme="majorHAnsi"/>
                <w:color w:val="FF0000"/>
                <w:highlight w:val="yellow"/>
              </w:rPr>
            </w:pPr>
            <w:r w:rsidRPr="00EE05AA">
              <w:rPr>
                <w:rFonts w:asciiTheme="majorHAnsi" w:hAnsiTheme="majorHAnsi"/>
                <w:color w:val="FF0000"/>
                <w:highlight w:val="yellow"/>
              </w:rPr>
              <w:t>16.5</w:t>
            </w:r>
          </w:p>
        </w:tc>
        <w:tc>
          <w:tcPr>
            <w:tcW w:w="1260" w:type="dxa"/>
            <w:gridSpan w:val="2"/>
            <w:tcBorders>
              <w:bottom w:val="dotted" w:sz="6" w:space="0" w:color="E9E6E6"/>
            </w:tcBorders>
            <w:tcMar>
              <w:top w:w="45" w:type="dxa"/>
              <w:left w:w="45" w:type="dxa"/>
              <w:bottom w:w="45" w:type="dxa"/>
              <w:right w:w="45" w:type="dxa"/>
            </w:tcMar>
            <w:vAlign w:val="center"/>
            <w:hideMark/>
          </w:tcPr>
          <w:p w14:paraId="0494FA8F"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14.9</w:t>
            </w:r>
          </w:p>
        </w:tc>
        <w:tc>
          <w:tcPr>
            <w:tcW w:w="2868" w:type="dxa"/>
            <w:gridSpan w:val="2"/>
            <w:tcBorders>
              <w:bottom w:val="dotted" w:sz="6" w:space="0" w:color="E9E6E6"/>
            </w:tcBorders>
            <w:tcMar>
              <w:top w:w="45" w:type="dxa"/>
              <w:left w:w="45" w:type="dxa"/>
              <w:bottom w:w="45" w:type="dxa"/>
              <w:right w:w="45" w:type="dxa"/>
            </w:tcMar>
            <w:vAlign w:val="center"/>
            <w:hideMark/>
          </w:tcPr>
          <w:p w14:paraId="625CE9E8" w14:textId="77777777" w:rsidR="00153816" w:rsidRPr="00EE05AA" w:rsidRDefault="00153816" w:rsidP="006B1E56">
            <w:pPr>
              <w:jc w:val="center"/>
              <w:rPr>
                <w:rFonts w:asciiTheme="majorHAnsi" w:hAnsiTheme="majorHAnsi"/>
                <w:color w:val="333333"/>
                <w:highlight w:val="yellow"/>
              </w:rPr>
            </w:pPr>
            <w:r w:rsidRPr="00EE05AA">
              <w:rPr>
                <w:rFonts w:asciiTheme="majorHAnsi" w:hAnsiTheme="majorHAnsi"/>
                <w:color w:val="333333"/>
                <w:highlight w:val="yellow"/>
              </w:rPr>
              <w:t>14.0</w:t>
            </w:r>
          </w:p>
        </w:tc>
      </w:tr>
      <w:tr w:rsidR="00153816" w:rsidRPr="00EE05AA" w14:paraId="0967FF1E" w14:textId="77777777" w:rsidTr="006B1E56">
        <w:trPr>
          <w:gridBefore w:val="1"/>
          <w:gridAfter w:val="1"/>
          <w:wBefore w:w="239" w:type="dxa"/>
          <w:wAfter w:w="95" w:type="dxa"/>
          <w:tblCellSpacing w:w="15" w:type="dxa"/>
        </w:trPr>
        <w:tc>
          <w:tcPr>
            <w:tcW w:w="2805" w:type="dxa"/>
            <w:gridSpan w:val="4"/>
            <w:tcBorders>
              <w:bottom w:val="dotted" w:sz="6" w:space="0" w:color="E9E6E6"/>
            </w:tcBorders>
            <w:tcMar>
              <w:top w:w="72" w:type="dxa"/>
              <w:left w:w="240" w:type="dxa"/>
              <w:bottom w:w="72" w:type="dxa"/>
              <w:right w:w="0" w:type="dxa"/>
            </w:tcMar>
            <w:vAlign w:val="center"/>
            <w:hideMark/>
          </w:tcPr>
          <w:p w14:paraId="3AEB9E58" w14:textId="77777777" w:rsidR="00153816" w:rsidRPr="00EE05AA" w:rsidRDefault="00153816" w:rsidP="006B1E56">
            <w:pPr>
              <w:rPr>
                <w:rFonts w:asciiTheme="majorHAnsi" w:hAnsiTheme="majorHAnsi"/>
                <w:color w:val="333333"/>
                <w:highlight w:val="yellow"/>
              </w:rPr>
            </w:pPr>
            <w:r w:rsidRPr="00EE05AA">
              <w:rPr>
                <w:rFonts w:asciiTheme="majorHAnsi" w:hAnsiTheme="majorHAnsi"/>
                <w:color w:val="333333"/>
                <w:highlight w:val="yellow"/>
              </w:rPr>
              <w:t>Unemployed§</w:t>
            </w:r>
            <w:r w:rsidRPr="00EE05AA">
              <w:rPr>
                <w:rStyle w:val="apple-converted-space"/>
                <w:rFonts w:asciiTheme="majorHAnsi" w:hAnsiTheme="majorHAnsi"/>
                <w:color w:val="333333"/>
                <w:highlight w:val="yellow"/>
              </w:rPr>
              <w:t> </w:t>
            </w:r>
          </w:p>
        </w:tc>
        <w:tc>
          <w:tcPr>
            <w:tcW w:w="2257" w:type="dxa"/>
            <w:gridSpan w:val="3"/>
            <w:tcBorders>
              <w:bottom w:val="dotted" w:sz="6" w:space="0" w:color="E9E6E6"/>
            </w:tcBorders>
            <w:tcMar>
              <w:top w:w="45" w:type="dxa"/>
              <w:left w:w="45" w:type="dxa"/>
              <w:bottom w:w="45" w:type="dxa"/>
              <w:right w:w="45" w:type="dxa"/>
            </w:tcMar>
            <w:vAlign w:val="center"/>
            <w:hideMark/>
          </w:tcPr>
          <w:p w14:paraId="7C265AF9"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5,400</w:t>
            </w:r>
          </w:p>
        </w:tc>
        <w:tc>
          <w:tcPr>
            <w:tcW w:w="1718" w:type="dxa"/>
            <w:gridSpan w:val="2"/>
            <w:tcBorders>
              <w:bottom w:val="dotted" w:sz="6" w:space="0" w:color="E9E6E6"/>
            </w:tcBorders>
            <w:tcMar>
              <w:top w:w="45" w:type="dxa"/>
              <w:left w:w="45" w:type="dxa"/>
              <w:bottom w:w="45" w:type="dxa"/>
              <w:right w:w="45" w:type="dxa"/>
            </w:tcMar>
            <w:vAlign w:val="center"/>
            <w:hideMark/>
          </w:tcPr>
          <w:p w14:paraId="667D0DD2"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FF0000"/>
                <w:highlight w:val="yellow"/>
              </w:rPr>
              <w:t>6.1</w:t>
            </w:r>
          </w:p>
        </w:tc>
        <w:tc>
          <w:tcPr>
            <w:tcW w:w="1260" w:type="dxa"/>
            <w:gridSpan w:val="2"/>
            <w:tcBorders>
              <w:bottom w:val="dotted" w:sz="6" w:space="0" w:color="E9E6E6"/>
            </w:tcBorders>
            <w:tcMar>
              <w:top w:w="45" w:type="dxa"/>
              <w:left w:w="45" w:type="dxa"/>
              <w:bottom w:w="45" w:type="dxa"/>
              <w:right w:w="45" w:type="dxa"/>
            </w:tcMar>
            <w:vAlign w:val="center"/>
            <w:hideMark/>
          </w:tcPr>
          <w:p w14:paraId="66882BCB" w14:textId="77777777" w:rsidR="00153816" w:rsidRPr="00EE05AA" w:rsidRDefault="00153816" w:rsidP="006B1E56">
            <w:pPr>
              <w:jc w:val="right"/>
              <w:rPr>
                <w:rFonts w:asciiTheme="majorHAnsi" w:hAnsiTheme="majorHAnsi"/>
                <w:color w:val="333333"/>
                <w:highlight w:val="yellow"/>
              </w:rPr>
            </w:pPr>
            <w:r w:rsidRPr="00EE05AA">
              <w:rPr>
                <w:rFonts w:asciiTheme="majorHAnsi" w:hAnsiTheme="majorHAnsi"/>
                <w:color w:val="333333"/>
                <w:highlight w:val="yellow"/>
              </w:rPr>
              <w:t>3.6</w:t>
            </w:r>
          </w:p>
        </w:tc>
        <w:tc>
          <w:tcPr>
            <w:tcW w:w="2868" w:type="dxa"/>
            <w:gridSpan w:val="2"/>
            <w:tcBorders>
              <w:bottom w:val="dotted" w:sz="6" w:space="0" w:color="E9E6E6"/>
            </w:tcBorders>
            <w:tcMar>
              <w:top w:w="45" w:type="dxa"/>
              <w:left w:w="45" w:type="dxa"/>
              <w:bottom w:w="45" w:type="dxa"/>
              <w:right w:w="45" w:type="dxa"/>
            </w:tcMar>
            <w:vAlign w:val="center"/>
            <w:hideMark/>
          </w:tcPr>
          <w:p w14:paraId="11050A47" w14:textId="77777777" w:rsidR="00153816" w:rsidRPr="00EE05AA" w:rsidRDefault="00153816" w:rsidP="006B1E56">
            <w:pPr>
              <w:jc w:val="center"/>
              <w:rPr>
                <w:rFonts w:asciiTheme="majorHAnsi" w:hAnsiTheme="majorHAnsi"/>
                <w:color w:val="333333"/>
                <w:highlight w:val="yellow"/>
              </w:rPr>
            </w:pPr>
            <w:r w:rsidRPr="00EE05AA">
              <w:rPr>
                <w:rFonts w:asciiTheme="majorHAnsi" w:hAnsiTheme="majorHAnsi"/>
                <w:color w:val="333333"/>
                <w:highlight w:val="yellow"/>
              </w:rPr>
              <w:t>4.2</w:t>
            </w:r>
          </w:p>
        </w:tc>
      </w:tr>
      <w:tr w:rsidR="00153816" w:rsidRPr="00EE05AA" w14:paraId="686E7885" w14:textId="77777777" w:rsidTr="006B1E56">
        <w:trPr>
          <w:gridBefore w:val="1"/>
          <w:gridAfter w:val="1"/>
          <w:wBefore w:w="239" w:type="dxa"/>
          <w:wAfter w:w="95" w:type="dxa"/>
          <w:tblCellSpacing w:w="15" w:type="dxa"/>
        </w:trPr>
        <w:tc>
          <w:tcPr>
            <w:tcW w:w="11028" w:type="dxa"/>
            <w:gridSpan w:val="13"/>
            <w:tcBorders>
              <w:bottom w:val="single" w:sz="12" w:space="0" w:color="C0C0C0"/>
            </w:tcBorders>
            <w:tcMar>
              <w:top w:w="72" w:type="dxa"/>
              <w:left w:w="15" w:type="dxa"/>
              <w:bottom w:w="72" w:type="dxa"/>
              <w:right w:w="15" w:type="dxa"/>
            </w:tcMar>
            <w:vAlign w:val="center"/>
            <w:hideMark/>
          </w:tcPr>
          <w:p w14:paraId="75B2D3A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Females</w:t>
            </w:r>
          </w:p>
        </w:tc>
      </w:tr>
      <w:tr w:rsidR="00153816" w:rsidRPr="00EE05AA" w14:paraId="40511241" w14:textId="77777777" w:rsidTr="006B1E56">
        <w:trPr>
          <w:gridBefore w:val="1"/>
          <w:gridAfter w:val="1"/>
          <w:wBefore w:w="239" w:type="dxa"/>
          <w:wAfter w:w="95" w:type="dxa"/>
          <w:tblCellSpacing w:w="15" w:type="dxa"/>
        </w:trPr>
        <w:tc>
          <w:tcPr>
            <w:tcW w:w="2805" w:type="dxa"/>
            <w:gridSpan w:val="4"/>
            <w:tcBorders>
              <w:bottom w:val="dotted" w:sz="6" w:space="0" w:color="E9E6E6"/>
            </w:tcBorders>
            <w:noWrap/>
            <w:tcMar>
              <w:top w:w="72" w:type="dxa"/>
              <w:left w:w="0" w:type="dxa"/>
              <w:bottom w:w="72" w:type="dxa"/>
              <w:right w:w="0" w:type="dxa"/>
            </w:tcMar>
            <w:vAlign w:val="center"/>
            <w:hideMark/>
          </w:tcPr>
          <w:p w14:paraId="711271D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Economically Active†</w:t>
            </w:r>
            <w:r w:rsidRPr="00EE05AA">
              <w:rPr>
                <w:rStyle w:val="apple-converted-space"/>
                <w:rFonts w:asciiTheme="majorHAnsi" w:hAnsiTheme="majorHAnsi"/>
                <w:color w:val="333333"/>
              </w:rPr>
              <w:t> </w:t>
            </w:r>
          </w:p>
        </w:tc>
        <w:tc>
          <w:tcPr>
            <w:tcW w:w="2257" w:type="dxa"/>
            <w:gridSpan w:val="3"/>
            <w:tcBorders>
              <w:bottom w:val="dotted" w:sz="6" w:space="0" w:color="E9E6E6"/>
            </w:tcBorders>
            <w:tcMar>
              <w:top w:w="45" w:type="dxa"/>
              <w:left w:w="45" w:type="dxa"/>
              <w:bottom w:w="45" w:type="dxa"/>
              <w:right w:w="45" w:type="dxa"/>
            </w:tcMar>
            <w:vAlign w:val="center"/>
            <w:hideMark/>
          </w:tcPr>
          <w:p w14:paraId="6BA611A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84,500</w:t>
            </w:r>
          </w:p>
        </w:tc>
        <w:tc>
          <w:tcPr>
            <w:tcW w:w="1718" w:type="dxa"/>
            <w:gridSpan w:val="2"/>
            <w:tcBorders>
              <w:bottom w:val="dotted" w:sz="6" w:space="0" w:color="E9E6E6"/>
            </w:tcBorders>
            <w:tcMar>
              <w:top w:w="45" w:type="dxa"/>
              <w:left w:w="45" w:type="dxa"/>
              <w:bottom w:w="45" w:type="dxa"/>
              <w:right w:w="45" w:type="dxa"/>
            </w:tcMar>
            <w:vAlign w:val="center"/>
            <w:hideMark/>
          </w:tcPr>
          <w:p w14:paraId="5D0132A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80.0</w:t>
            </w:r>
          </w:p>
        </w:tc>
        <w:tc>
          <w:tcPr>
            <w:tcW w:w="1260" w:type="dxa"/>
            <w:gridSpan w:val="2"/>
            <w:tcBorders>
              <w:bottom w:val="dotted" w:sz="6" w:space="0" w:color="E9E6E6"/>
            </w:tcBorders>
            <w:tcMar>
              <w:top w:w="45" w:type="dxa"/>
              <w:left w:w="45" w:type="dxa"/>
              <w:bottom w:w="45" w:type="dxa"/>
              <w:right w:w="45" w:type="dxa"/>
            </w:tcMar>
            <w:vAlign w:val="center"/>
            <w:hideMark/>
          </w:tcPr>
          <w:p w14:paraId="12000C0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78.8</w:t>
            </w:r>
          </w:p>
        </w:tc>
        <w:tc>
          <w:tcPr>
            <w:tcW w:w="2868" w:type="dxa"/>
            <w:gridSpan w:val="2"/>
            <w:tcBorders>
              <w:bottom w:val="dotted" w:sz="6" w:space="0" w:color="E9E6E6"/>
            </w:tcBorders>
            <w:tcMar>
              <w:top w:w="45" w:type="dxa"/>
              <w:left w:w="45" w:type="dxa"/>
              <w:bottom w:w="45" w:type="dxa"/>
              <w:right w:w="45" w:type="dxa"/>
            </w:tcMar>
            <w:vAlign w:val="center"/>
            <w:hideMark/>
          </w:tcPr>
          <w:p w14:paraId="26DB2617"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75.0</w:t>
            </w:r>
          </w:p>
        </w:tc>
      </w:tr>
      <w:tr w:rsidR="00153816" w:rsidRPr="00EE05AA" w14:paraId="75A224F8" w14:textId="77777777" w:rsidTr="006B1E56">
        <w:trPr>
          <w:gridAfter w:val="1"/>
          <w:wAfter w:w="95" w:type="dxa"/>
          <w:tblCellSpacing w:w="15" w:type="dxa"/>
        </w:trPr>
        <w:tc>
          <w:tcPr>
            <w:tcW w:w="3074" w:type="dxa"/>
            <w:gridSpan w:val="5"/>
            <w:tcBorders>
              <w:bottom w:val="dotted" w:sz="6" w:space="0" w:color="E9E6E6"/>
            </w:tcBorders>
            <w:tcMar>
              <w:top w:w="72" w:type="dxa"/>
              <w:left w:w="240" w:type="dxa"/>
              <w:bottom w:w="72" w:type="dxa"/>
              <w:right w:w="0" w:type="dxa"/>
            </w:tcMar>
            <w:vAlign w:val="center"/>
            <w:hideMark/>
          </w:tcPr>
          <w:p w14:paraId="01360F8C"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In Employment†</w:t>
            </w:r>
            <w:r w:rsidRPr="00EE05AA">
              <w:rPr>
                <w:rStyle w:val="apple-converted-space"/>
                <w:rFonts w:asciiTheme="majorHAnsi" w:hAnsiTheme="majorHAnsi"/>
                <w:color w:val="333333"/>
              </w:rPr>
              <w:t> </w:t>
            </w:r>
          </w:p>
        </w:tc>
        <w:tc>
          <w:tcPr>
            <w:tcW w:w="2257" w:type="dxa"/>
            <w:gridSpan w:val="3"/>
            <w:tcBorders>
              <w:bottom w:val="dotted" w:sz="6" w:space="0" w:color="E9E6E6"/>
            </w:tcBorders>
            <w:tcMar>
              <w:top w:w="45" w:type="dxa"/>
              <w:left w:w="45" w:type="dxa"/>
              <w:bottom w:w="45" w:type="dxa"/>
              <w:right w:w="45" w:type="dxa"/>
            </w:tcMar>
            <w:vAlign w:val="center"/>
            <w:hideMark/>
          </w:tcPr>
          <w:p w14:paraId="11FF2FB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79,800</w:t>
            </w:r>
          </w:p>
        </w:tc>
        <w:tc>
          <w:tcPr>
            <w:tcW w:w="1718" w:type="dxa"/>
            <w:gridSpan w:val="2"/>
            <w:tcBorders>
              <w:bottom w:val="dotted" w:sz="6" w:space="0" w:color="E9E6E6"/>
            </w:tcBorders>
            <w:tcMar>
              <w:top w:w="45" w:type="dxa"/>
              <w:left w:w="45" w:type="dxa"/>
              <w:bottom w:w="45" w:type="dxa"/>
              <w:right w:w="45" w:type="dxa"/>
            </w:tcMar>
            <w:vAlign w:val="center"/>
            <w:hideMark/>
          </w:tcPr>
          <w:p w14:paraId="05D6991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75.4</w:t>
            </w:r>
          </w:p>
        </w:tc>
        <w:tc>
          <w:tcPr>
            <w:tcW w:w="1260" w:type="dxa"/>
            <w:gridSpan w:val="2"/>
            <w:tcBorders>
              <w:bottom w:val="dotted" w:sz="6" w:space="0" w:color="E9E6E6"/>
            </w:tcBorders>
            <w:tcMar>
              <w:top w:w="45" w:type="dxa"/>
              <w:left w:w="45" w:type="dxa"/>
              <w:bottom w:w="45" w:type="dxa"/>
              <w:right w:w="45" w:type="dxa"/>
            </w:tcMar>
            <w:vAlign w:val="center"/>
            <w:hideMark/>
          </w:tcPr>
          <w:p w14:paraId="14BBADE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76.2</w:t>
            </w:r>
          </w:p>
        </w:tc>
        <w:tc>
          <w:tcPr>
            <w:tcW w:w="2868" w:type="dxa"/>
            <w:gridSpan w:val="2"/>
            <w:tcBorders>
              <w:bottom w:val="dotted" w:sz="6" w:space="0" w:color="E9E6E6"/>
            </w:tcBorders>
            <w:tcMar>
              <w:top w:w="45" w:type="dxa"/>
              <w:left w:w="45" w:type="dxa"/>
              <w:bottom w:w="45" w:type="dxa"/>
              <w:right w:w="45" w:type="dxa"/>
            </w:tcMar>
            <w:vAlign w:val="center"/>
            <w:hideMark/>
          </w:tcPr>
          <w:p w14:paraId="7F0B755B"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72.2</w:t>
            </w:r>
          </w:p>
        </w:tc>
      </w:tr>
      <w:tr w:rsidR="00153816" w:rsidRPr="00EE05AA" w14:paraId="256D5FFD" w14:textId="77777777" w:rsidTr="006B1E56">
        <w:trPr>
          <w:gridAfter w:val="1"/>
          <w:wAfter w:w="95" w:type="dxa"/>
          <w:tblCellSpacing w:w="15" w:type="dxa"/>
        </w:trPr>
        <w:tc>
          <w:tcPr>
            <w:tcW w:w="3074" w:type="dxa"/>
            <w:gridSpan w:val="5"/>
            <w:tcBorders>
              <w:bottom w:val="dotted" w:sz="6" w:space="0" w:color="E9E6E6"/>
            </w:tcBorders>
            <w:noWrap/>
            <w:tcMar>
              <w:top w:w="72" w:type="dxa"/>
              <w:left w:w="480" w:type="dxa"/>
              <w:bottom w:w="72" w:type="dxa"/>
              <w:right w:w="0" w:type="dxa"/>
            </w:tcMar>
            <w:vAlign w:val="center"/>
            <w:hideMark/>
          </w:tcPr>
          <w:p w14:paraId="68713EE5"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Employees†</w:t>
            </w:r>
            <w:r w:rsidRPr="00EE05AA">
              <w:rPr>
                <w:rStyle w:val="apple-converted-space"/>
                <w:rFonts w:asciiTheme="majorHAnsi" w:hAnsiTheme="majorHAnsi"/>
                <w:color w:val="333333"/>
              </w:rPr>
              <w:t> </w:t>
            </w:r>
          </w:p>
        </w:tc>
        <w:tc>
          <w:tcPr>
            <w:tcW w:w="2257" w:type="dxa"/>
            <w:gridSpan w:val="3"/>
            <w:tcBorders>
              <w:bottom w:val="dotted" w:sz="6" w:space="0" w:color="E9E6E6"/>
            </w:tcBorders>
            <w:tcMar>
              <w:top w:w="45" w:type="dxa"/>
              <w:left w:w="45" w:type="dxa"/>
              <w:bottom w:w="45" w:type="dxa"/>
              <w:right w:w="45" w:type="dxa"/>
            </w:tcMar>
            <w:vAlign w:val="center"/>
            <w:hideMark/>
          </w:tcPr>
          <w:p w14:paraId="5B86BA5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69,000</w:t>
            </w:r>
          </w:p>
        </w:tc>
        <w:tc>
          <w:tcPr>
            <w:tcW w:w="1718" w:type="dxa"/>
            <w:gridSpan w:val="2"/>
            <w:tcBorders>
              <w:bottom w:val="dotted" w:sz="6" w:space="0" w:color="E9E6E6"/>
            </w:tcBorders>
            <w:tcMar>
              <w:top w:w="45" w:type="dxa"/>
              <w:left w:w="45" w:type="dxa"/>
              <w:bottom w:w="45" w:type="dxa"/>
              <w:right w:w="45" w:type="dxa"/>
            </w:tcMar>
            <w:vAlign w:val="center"/>
            <w:hideMark/>
          </w:tcPr>
          <w:p w14:paraId="5AA6C18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65.8</w:t>
            </w:r>
          </w:p>
        </w:tc>
        <w:tc>
          <w:tcPr>
            <w:tcW w:w="1260" w:type="dxa"/>
            <w:gridSpan w:val="2"/>
            <w:tcBorders>
              <w:bottom w:val="dotted" w:sz="6" w:space="0" w:color="E9E6E6"/>
            </w:tcBorders>
            <w:tcMar>
              <w:top w:w="45" w:type="dxa"/>
              <w:left w:w="45" w:type="dxa"/>
              <w:bottom w:w="45" w:type="dxa"/>
              <w:right w:w="45" w:type="dxa"/>
            </w:tcMar>
            <w:vAlign w:val="center"/>
            <w:hideMark/>
          </w:tcPr>
          <w:p w14:paraId="4A5BBE9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67.1</w:t>
            </w:r>
          </w:p>
        </w:tc>
        <w:tc>
          <w:tcPr>
            <w:tcW w:w="2868" w:type="dxa"/>
            <w:gridSpan w:val="2"/>
            <w:tcBorders>
              <w:bottom w:val="dotted" w:sz="6" w:space="0" w:color="E9E6E6"/>
            </w:tcBorders>
            <w:tcMar>
              <w:top w:w="45" w:type="dxa"/>
              <w:left w:w="45" w:type="dxa"/>
              <w:bottom w:w="45" w:type="dxa"/>
              <w:right w:w="45" w:type="dxa"/>
            </w:tcMar>
            <w:vAlign w:val="center"/>
            <w:hideMark/>
          </w:tcPr>
          <w:p w14:paraId="3CABC9E6"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64.5</w:t>
            </w:r>
          </w:p>
        </w:tc>
      </w:tr>
      <w:tr w:rsidR="00153816" w:rsidRPr="00EE05AA" w14:paraId="194A6488" w14:textId="77777777" w:rsidTr="006B1E56">
        <w:trPr>
          <w:gridAfter w:val="1"/>
          <w:wAfter w:w="95" w:type="dxa"/>
          <w:tblCellSpacing w:w="15" w:type="dxa"/>
        </w:trPr>
        <w:tc>
          <w:tcPr>
            <w:tcW w:w="3074" w:type="dxa"/>
            <w:gridSpan w:val="5"/>
            <w:tcBorders>
              <w:bottom w:val="dotted" w:sz="6" w:space="0" w:color="E9E6E6"/>
            </w:tcBorders>
            <w:noWrap/>
            <w:tcMar>
              <w:top w:w="72" w:type="dxa"/>
              <w:left w:w="480" w:type="dxa"/>
              <w:bottom w:w="72" w:type="dxa"/>
              <w:right w:w="0" w:type="dxa"/>
            </w:tcMar>
            <w:vAlign w:val="center"/>
            <w:hideMark/>
          </w:tcPr>
          <w:p w14:paraId="700821CF"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Self Employed†</w:t>
            </w:r>
            <w:r w:rsidRPr="00EE05AA">
              <w:rPr>
                <w:rStyle w:val="apple-converted-space"/>
                <w:rFonts w:asciiTheme="majorHAnsi" w:hAnsiTheme="majorHAnsi"/>
                <w:color w:val="333333"/>
              </w:rPr>
              <w:t> </w:t>
            </w:r>
          </w:p>
        </w:tc>
        <w:tc>
          <w:tcPr>
            <w:tcW w:w="2257" w:type="dxa"/>
            <w:gridSpan w:val="3"/>
            <w:tcBorders>
              <w:bottom w:val="dotted" w:sz="6" w:space="0" w:color="E9E6E6"/>
            </w:tcBorders>
            <w:tcMar>
              <w:top w:w="45" w:type="dxa"/>
              <w:left w:w="45" w:type="dxa"/>
              <w:bottom w:w="45" w:type="dxa"/>
              <w:right w:w="45" w:type="dxa"/>
            </w:tcMar>
            <w:vAlign w:val="center"/>
            <w:hideMark/>
          </w:tcPr>
          <w:p w14:paraId="0305E52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10,500</w:t>
            </w:r>
          </w:p>
        </w:tc>
        <w:tc>
          <w:tcPr>
            <w:tcW w:w="1718" w:type="dxa"/>
            <w:gridSpan w:val="2"/>
            <w:tcBorders>
              <w:bottom w:val="dotted" w:sz="6" w:space="0" w:color="E9E6E6"/>
            </w:tcBorders>
            <w:tcMar>
              <w:top w:w="45" w:type="dxa"/>
              <w:left w:w="45" w:type="dxa"/>
              <w:bottom w:w="45" w:type="dxa"/>
              <w:right w:w="45" w:type="dxa"/>
            </w:tcMar>
            <w:vAlign w:val="center"/>
            <w:hideMark/>
          </w:tcPr>
          <w:p w14:paraId="1435ED9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9.3</w:t>
            </w:r>
          </w:p>
        </w:tc>
        <w:tc>
          <w:tcPr>
            <w:tcW w:w="1260" w:type="dxa"/>
            <w:gridSpan w:val="2"/>
            <w:tcBorders>
              <w:bottom w:val="dotted" w:sz="6" w:space="0" w:color="E9E6E6"/>
            </w:tcBorders>
            <w:tcMar>
              <w:top w:w="45" w:type="dxa"/>
              <w:left w:w="45" w:type="dxa"/>
              <w:bottom w:w="45" w:type="dxa"/>
              <w:right w:w="45" w:type="dxa"/>
            </w:tcMar>
            <w:vAlign w:val="center"/>
            <w:hideMark/>
          </w:tcPr>
          <w:p w14:paraId="73E9094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8.8</w:t>
            </w:r>
          </w:p>
        </w:tc>
        <w:tc>
          <w:tcPr>
            <w:tcW w:w="2868" w:type="dxa"/>
            <w:gridSpan w:val="2"/>
            <w:tcBorders>
              <w:bottom w:val="dotted" w:sz="6" w:space="0" w:color="E9E6E6"/>
            </w:tcBorders>
            <w:tcMar>
              <w:top w:w="45" w:type="dxa"/>
              <w:left w:w="45" w:type="dxa"/>
              <w:bottom w:w="45" w:type="dxa"/>
              <w:right w:w="45" w:type="dxa"/>
            </w:tcMar>
            <w:vAlign w:val="center"/>
            <w:hideMark/>
          </w:tcPr>
          <w:p w14:paraId="4E15116D"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7.5</w:t>
            </w:r>
          </w:p>
        </w:tc>
      </w:tr>
      <w:tr w:rsidR="00153816" w:rsidRPr="00EE05AA" w14:paraId="42221FDD" w14:textId="77777777" w:rsidTr="006B1E56">
        <w:trPr>
          <w:gridAfter w:val="1"/>
          <w:wAfter w:w="95" w:type="dxa"/>
          <w:tblCellSpacing w:w="15" w:type="dxa"/>
        </w:trPr>
        <w:tc>
          <w:tcPr>
            <w:tcW w:w="3074" w:type="dxa"/>
            <w:gridSpan w:val="5"/>
            <w:tcBorders>
              <w:bottom w:val="single" w:sz="18" w:space="0" w:color="DDDDDD"/>
            </w:tcBorders>
            <w:tcMar>
              <w:top w:w="72" w:type="dxa"/>
              <w:left w:w="240" w:type="dxa"/>
              <w:bottom w:w="72" w:type="dxa"/>
              <w:right w:w="0" w:type="dxa"/>
            </w:tcMar>
            <w:hideMark/>
          </w:tcPr>
          <w:p w14:paraId="55FF7864" w14:textId="77777777" w:rsidR="00153816" w:rsidRPr="00EE05AA" w:rsidRDefault="00153816" w:rsidP="006B1E56">
            <w:pPr>
              <w:rPr>
                <w:rFonts w:asciiTheme="majorHAnsi" w:hAnsiTheme="majorHAnsi"/>
                <w:color w:val="333333"/>
              </w:rPr>
            </w:pPr>
            <w:r w:rsidRPr="00EE05AA">
              <w:rPr>
                <w:rFonts w:asciiTheme="majorHAnsi" w:hAnsiTheme="majorHAnsi"/>
                <w:color w:val="333333"/>
              </w:rPr>
              <w:lastRenderedPageBreak/>
              <w:t>Unemployed§</w:t>
            </w:r>
            <w:r w:rsidRPr="00EE05AA">
              <w:rPr>
                <w:rStyle w:val="apple-converted-space"/>
                <w:rFonts w:asciiTheme="majorHAnsi" w:hAnsiTheme="majorHAnsi"/>
                <w:color w:val="333333"/>
              </w:rPr>
              <w:t> </w:t>
            </w:r>
          </w:p>
        </w:tc>
        <w:tc>
          <w:tcPr>
            <w:tcW w:w="2257" w:type="dxa"/>
            <w:gridSpan w:val="3"/>
            <w:tcBorders>
              <w:bottom w:val="single" w:sz="18" w:space="0" w:color="DDDDDD"/>
            </w:tcBorders>
            <w:tcMar>
              <w:top w:w="45" w:type="dxa"/>
              <w:left w:w="45" w:type="dxa"/>
              <w:bottom w:w="168" w:type="dxa"/>
              <w:right w:w="45" w:type="dxa"/>
            </w:tcMar>
            <w:hideMark/>
          </w:tcPr>
          <w:p w14:paraId="44BA7D0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4,700</w:t>
            </w:r>
          </w:p>
        </w:tc>
        <w:tc>
          <w:tcPr>
            <w:tcW w:w="1718" w:type="dxa"/>
            <w:gridSpan w:val="2"/>
            <w:tcBorders>
              <w:bottom w:val="single" w:sz="18" w:space="0" w:color="DDDDDD"/>
            </w:tcBorders>
            <w:tcMar>
              <w:top w:w="45" w:type="dxa"/>
              <w:left w:w="45" w:type="dxa"/>
              <w:bottom w:w="168" w:type="dxa"/>
              <w:right w:w="45" w:type="dxa"/>
            </w:tcMar>
            <w:hideMark/>
          </w:tcPr>
          <w:p w14:paraId="415A5FB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5.6</w:t>
            </w:r>
          </w:p>
        </w:tc>
        <w:tc>
          <w:tcPr>
            <w:tcW w:w="1260" w:type="dxa"/>
            <w:gridSpan w:val="2"/>
            <w:tcBorders>
              <w:bottom w:val="single" w:sz="18" w:space="0" w:color="DDDDDD"/>
            </w:tcBorders>
            <w:tcMar>
              <w:top w:w="45" w:type="dxa"/>
              <w:left w:w="45" w:type="dxa"/>
              <w:bottom w:w="168" w:type="dxa"/>
              <w:right w:w="45" w:type="dxa"/>
            </w:tcMar>
            <w:hideMark/>
          </w:tcPr>
          <w:p w14:paraId="4315B1F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3.2</w:t>
            </w:r>
          </w:p>
        </w:tc>
        <w:tc>
          <w:tcPr>
            <w:tcW w:w="2868" w:type="dxa"/>
            <w:gridSpan w:val="2"/>
            <w:tcBorders>
              <w:bottom w:val="single" w:sz="18" w:space="0" w:color="DDDDDD"/>
            </w:tcBorders>
            <w:tcMar>
              <w:top w:w="45" w:type="dxa"/>
              <w:left w:w="45" w:type="dxa"/>
              <w:bottom w:w="168" w:type="dxa"/>
              <w:right w:w="45" w:type="dxa"/>
            </w:tcMar>
            <w:hideMark/>
          </w:tcPr>
          <w:p w14:paraId="325A0297"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3.6</w:t>
            </w:r>
          </w:p>
        </w:tc>
      </w:tr>
      <w:tr w:rsidR="00153816" w:rsidRPr="00EE05AA" w14:paraId="2C410D5F" w14:textId="77777777" w:rsidTr="006B1E56">
        <w:trPr>
          <w:gridAfter w:val="1"/>
          <w:wAfter w:w="95" w:type="dxa"/>
          <w:tblHeader/>
          <w:tblCellSpacing w:w="15" w:type="dxa"/>
        </w:trPr>
        <w:tc>
          <w:tcPr>
            <w:tcW w:w="5116" w:type="dxa"/>
            <w:gridSpan w:val="7"/>
            <w:tcBorders>
              <w:bottom w:val="dotted" w:sz="6" w:space="0" w:color="E9E6E6"/>
            </w:tcBorders>
            <w:tcMar>
              <w:top w:w="72" w:type="dxa"/>
              <w:left w:w="30" w:type="dxa"/>
              <w:bottom w:w="72" w:type="dxa"/>
              <w:right w:w="30" w:type="dxa"/>
            </w:tcMar>
            <w:hideMark/>
          </w:tcPr>
          <w:p w14:paraId="322D464A" w14:textId="77777777" w:rsidR="00153816" w:rsidRPr="00EE05AA" w:rsidRDefault="00153816" w:rsidP="006B1E56">
            <w:pPr>
              <w:spacing w:before="15" w:after="15"/>
              <w:ind w:right="15"/>
              <w:rPr>
                <w:rFonts w:asciiTheme="majorHAnsi" w:hAnsiTheme="majorHAnsi"/>
                <w:b/>
                <w:bCs/>
                <w:color w:val="333333"/>
              </w:rPr>
            </w:pPr>
          </w:p>
          <w:p w14:paraId="0DEE5908" w14:textId="77777777" w:rsidR="00153816" w:rsidRPr="00EE05AA" w:rsidRDefault="00153816" w:rsidP="006B1E56">
            <w:pPr>
              <w:tabs>
                <w:tab w:val="left" w:pos="240"/>
              </w:tabs>
              <w:spacing w:before="15" w:after="15"/>
              <w:ind w:right="15"/>
              <w:rPr>
                <w:rFonts w:asciiTheme="majorHAnsi" w:hAnsiTheme="majorHAnsi"/>
                <w:b/>
                <w:bCs/>
                <w:color w:val="333333"/>
              </w:rPr>
            </w:pPr>
          </w:p>
          <w:p w14:paraId="0BDA3AB6" w14:textId="77777777" w:rsidR="00153816" w:rsidRPr="00EE05AA" w:rsidRDefault="00153816" w:rsidP="006B1E56">
            <w:pPr>
              <w:spacing w:before="15" w:after="15"/>
              <w:ind w:left="15" w:right="15"/>
              <w:jc w:val="right"/>
              <w:rPr>
                <w:rFonts w:asciiTheme="majorHAnsi" w:hAnsiTheme="majorHAnsi"/>
                <w:b/>
                <w:bCs/>
                <w:color w:val="333333"/>
              </w:rPr>
            </w:pPr>
          </w:p>
          <w:p w14:paraId="4E0B1170"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 </w:t>
            </w:r>
          </w:p>
        </w:tc>
        <w:tc>
          <w:tcPr>
            <w:tcW w:w="881" w:type="dxa"/>
            <w:gridSpan w:val="2"/>
            <w:tcBorders>
              <w:bottom w:val="dotted" w:sz="6" w:space="0" w:color="E9E6E6"/>
            </w:tcBorders>
            <w:tcMar>
              <w:top w:w="72" w:type="dxa"/>
              <w:left w:w="30" w:type="dxa"/>
              <w:bottom w:w="72" w:type="dxa"/>
              <w:right w:w="30" w:type="dxa"/>
            </w:tcMar>
            <w:hideMark/>
          </w:tcPr>
          <w:p w14:paraId="19A8CDCE" w14:textId="77777777" w:rsidR="00153816" w:rsidRPr="00EE05AA" w:rsidRDefault="00153816" w:rsidP="006B1E56">
            <w:pPr>
              <w:spacing w:before="15" w:after="15"/>
              <w:ind w:left="15" w:right="15"/>
              <w:jc w:val="right"/>
              <w:rPr>
                <w:rFonts w:asciiTheme="majorHAnsi" w:hAnsiTheme="majorHAnsi"/>
                <w:b/>
                <w:bCs/>
                <w:color w:val="333333"/>
              </w:rPr>
            </w:pPr>
          </w:p>
          <w:p w14:paraId="7BEC22B0" w14:textId="77777777" w:rsidR="00153816" w:rsidRPr="00EE05AA" w:rsidRDefault="00153816" w:rsidP="006B1E56">
            <w:pPr>
              <w:spacing w:before="15" w:after="15"/>
              <w:ind w:left="15" w:right="15"/>
              <w:jc w:val="right"/>
              <w:rPr>
                <w:rFonts w:asciiTheme="majorHAnsi" w:hAnsiTheme="majorHAnsi"/>
                <w:b/>
                <w:bCs/>
                <w:color w:val="333333"/>
              </w:rPr>
            </w:pPr>
          </w:p>
          <w:p w14:paraId="2CFBA563" w14:textId="77777777" w:rsidR="00153816" w:rsidRPr="00EE05AA" w:rsidRDefault="00153816" w:rsidP="006B1E56">
            <w:pPr>
              <w:spacing w:before="15" w:after="15"/>
              <w:ind w:left="15" w:right="15"/>
              <w:jc w:val="right"/>
              <w:rPr>
                <w:rFonts w:asciiTheme="majorHAnsi" w:hAnsiTheme="majorHAnsi"/>
                <w:b/>
                <w:bCs/>
                <w:color w:val="333333"/>
              </w:rPr>
            </w:pPr>
          </w:p>
          <w:p w14:paraId="4D048CB9" w14:textId="77777777" w:rsidR="00153816" w:rsidRPr="00EE05AA" w:rsidRDefault="00153816" w:rsidP="006B1E56">
            <w:pPr>
              <w:spacing w:before="15" w:after="15"/>
              <w:ind w:left="15" w:right="15"/>
              <w:jc w:val="right"/>
              <w:rPr>
                <w:rFonts w:asciiTheme="majorHAnsi" w:hAnsiTheme="majorHAnsi"/>
                <w:b/>
                <w:bCs/>
                <w:color w:val="333333"/>
              </w:rPr>
            </w:pPr>
          </w:p>
          <w:p w14:paraId="4297732B" w14:textId="77777777" w:rsidR="00153816" w:rsidRDefault="00153816" w:rsidP="006B1E56">
            <w:pPr>
              <w:spacing w:before="15" w:after="15"/>
              <w:ind w:left="15" w:right="15"/>
              <w:jc w:val="right"/>
              <w:rPr>
                <w:rFonts w:asciiTheme="majorHAnsi" w:hAnsiTheme="majorHAnsi"/>
                <w:b/>
                <w:bCs/>
                <w:color w:val="333333"/>
              </w:rPr>
            </w:pPr>
          </w:p>
          <w:p w14:paraId="472A09EB" w14:textId="77777777" w:rsidR="00153816" w:rsidRDefault="00153816" w:rsidP="006B1E56">
            <w:pPr>
              <w:spacing w:before="15" w:after="15"/>
              <w:ind w:left="15" w:right="15"/>
              <w:jc w:val="right"/>
              <w:rPr>
                <w:rFonts w:asciiTheme="majorHAnsi" w:hAnsiTheme="majorHAnsi"/>
                <w:b/>
                <w:bCs/>
                <w:color w:val="333333"/>
              </w:rPr>
            </w:pPr>
          </w:p>
          <w:p w14:paraId="32CB5949" w14:textId="77777777" w:rsidR="00153816" w:rsidRDefault="00153816" w:rsidP="006B1E56">
            <w:pPr>
              <w:spacing w:before="15" w:after="15"/>
              <w:ind w:left="15" w:right="15"/>
              <w:jc w:val="right"/>
              <w:rPr>
                <w:rFonts w:asciiTheme="majorHAnsi" w:hAnsiTheme="majorHAnsi"/>
                <w:b/>
                <w:bCs/>
                <w:color w:val="333333"/>
              </w:rPr>
            </w:pPr>
          </w:p>
          <w:p w14:paraId="3E2D01FD" w14:textId="77777777" w:rsidR="00153816" w:rsidRDefault="00153816" w:rsidP="006B1E56">
            <w:pPr>
              <w:spacing w:before="15" w:after="15"/>
              <w:ind w:left="15" w:right="15"/>
              <w:jc w:val="right"/>
              <w:rPr>
                <w:rFonts w:asciiTheme="majorHAnsi" w:hAnsiTheme="majorHAnsi"/>
                <w:b/>
                <w:bCs/>
                <w:color w:val="333333"/>
              </w:rPr>
            </w:pPr>
          </w:p>
          <w:p w14:paraId="5FB210CA" w14:textId="77777777" w:rsidR="00153816" w:rsidRDefault="00153816" w:rsidP="006B1E56">
            <w:pPr>
              <w:spacing w:before="15" w:after="15"/>
              <w:ind w:left="15" w:right="15"/>
              <w:jc w:val="right"/>
              <w:rPr>
                <w:rFonts w:asciiTheme="majorHAnsi" w:hAnsiTheme="majorHAnsi"/>
                <w:b/>
                <w:bCs/>
                <w:color w:val="333333"/>
              </w:rPr>
            </w:pPr>
          </w:p>
          <w:p w14:paraId="4D3AF2F8" w14:textId="77777777" w:rsidR="00153816" w:rsidRDefault="00153816" w:rsidP="006B1E56">
            <w:pPr>
              <w:spacing w:before="15" w:after="15"/>
              <w:ind w:left="15" w:right="15"/>
              <w:jc w:val="right"/>
              <w:rPr>
                <w:rFonts w:asciiTheme="majorHAnsi" w:hAnsiTheme="majorHAnsi"/>
                <w:b/>
                <w:bCs/>
                <w:color w:val="333333"/>
              </w:rPr>
            </w:pPr>
          </w:p>
          <w:p w14:paraId="6987E8E9" w14:textId="77777777" w:rsidR="00153816" w:rsidRPr="00EE05AA" w:rsidRDefault="00153816" w:rsidP="006B1E56">
            <w:pPr>
              <w:spacing w:before="15" w:after="15"/>
              <w:ind w:left="15" w:right="15"/>
              <w:jc w:val="right"/>
              <w:rPr>
                <w:rFonts w:asciiTheme="majorHAnsi" w:hAnsiTheme="majorHAnsi"/>
                <w:b/>
                <w:bCs/>
                <w:color w:val="333333"/>
              </w:rPr>
            </w:pPr>
          </w:p>
          <w:p w14:paraId="1DFF242A" w14:textId="77777777" w:rsidR="00153816" w:rsidRPr="00EE05AA" w:rsidRDefault="00153816" w:rsidP="006B1E56">
            <w:pPr>
              <w:spacing w:before="15" w:after="15"/>
              <w:ind w:left="15" w:right="15"/>
              <w:jc w:val="right"/>
              <w:rPr>
                <w:rFonts w:asciiTheme="majorHAnsi" w:hAnsiTheme="majorHAnsi"/>
                <w:b/>
                <w:bCs/>
                <w:color w:val="333333"/>
              </w:rPr>
            </w:pPr>
          </w:p>
          <w:p w14:paraId="601B19DA"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(Level)</w:t>
            </w:r>
          </w:p>
        </w:tc>
        <w:tc>
          <w:tcPr>
            <w:tcW w:w="1995" w:type="dxa"/>
            <w:gridSpan w:val="2"/>
            <w:tcBorders>
              <w:bottom w:val="dotted" w:sz="6" w:space="0" w:color="E9E6E6"/>
            </w:tcBorders>
            <w:tcMar>
              <w:top w:w="72" w:type="dxa"/>
              <w:left w:w="30" w:type="dxa"/>
              <w:bottom w:w="72" w:type="dxa"/>
              <w:right w:w="30" w:type="dxa"/>
            </w:tcMar>
            <w:hideMark/>
          </w:tcPr>
          <w:p w14:paraId="0ABB9BB0" w14:textId="77777777" w:rsidR="00153816" w:rsidRPr="00EE05AA" w:rsidRDefault="00153816" w:rsidP="006B1E56">
            <w:pPr>
              <w:spacing w:before="15" w:after="15"/>
              <w:ind w:left="15" w:right="15"/>
              <w:jc w:val="right"/>
              <w:rPr>
                <w:rFonts w:asciiTheme="majorHAnsi" w:hAnsiTheme="majorHAnsi"/>
                <w:b/>
                <w:bCs/>
                <w:color w:val="333333"/>
              </w:rPr>
            </w:pPr>
          </w:p>
          <w:p w14:paraId="5A505A18" w14:textId="77777777" w:rsidR="00153816" w:rsidRPr="00EE05AA" w:rsidRDefault="00153816" w:rsidP="006B1E56">
            <w:pPr>
              <w:spacing w:before="15" w:after="15"/>
              <w:ind w:left="15" w:right="15"/>
              <w:jc w:val="right"/>
              <w:rPr>
                <w:rFonts w:asciiTheme="majorHAnsi" w:hAnsiTheme="majorHAnsi"/>
                <w:b/>
                <w:bCs/>
                <w:color w:val="333333"/>
              </w:rPr>
            </w:pPr>
          </w:p>
          <w:p w14:paraId="579D3C89" w14:textId="77777777" w:rsidR="00153816" w:rsidRPr="00EE05AA" w:rsidRDefault="00153816" w:rsidP="006B1E56">
            <w:pPr>
              <w:spacing w:before="15" w:after="15"/>
              <w:ind w:left="15" w:right="15"/>
              <w:jc w:val="right"/>
              <w:rPr>
                <w:rFonts w:asciiTheme="majorHAnsi" w:hAnsiTheme="majorHAnsi"/>
                <w:b/>
                <w:bCs/>
                <w:color w:val="333333"/>
              </w:rPr>
            </w:pPr>
          </w:p>
          <w:p w14:paraId="46282A3D" w14:textId="77777777" w:rsidR="00153816" w:rsidRDefault="00153816" w:rsidP="006B1E56">
            <w:pPr>
              <w:spacing w:before="15" w:after="15"/>
              <w:ind w:left="15" w:right="15"/>
              <w:jc w:val="right"/>
              <w:rPr>
                <w:rFonts w:asciiTheme="majorHAnsi" w:hAnsiTheme="majorHAnsi"/>
                <w:b/>
                <w:bCs/>
                <w:color w:val="333333"/>
              </w:rPr>
            </w:pPr>
          </w:p>
          <w:p w14:paraId="0DE9312B" w14:textId="77777777" w:rsidR="00153816" w:rsidRDefault="00153816" w:rsidP="006B1E56">
            <w:pPr>
              <w:spacing w:before="15" w:after="15"/>
              <w:ind w:left="15" w:right="15"/>
              <w:jc w:val="right"/>
              <w:rPr>
                <w:rFonts w:asciiTheme="majorHAnsi" w:hAnsiTheme="majorHAnsi"/>
                <w:b/>
                <w:bCs/>
                <w:color w:val="333333"/>
              </w:rPr>
            </w:pPr>
          </w:p>
          <w:p w14:paraId="460FEB47" w14:textId="77777777" w:rsidR="00153816" w:rsidRDefault="00153816" w:rsidP="006B1E56">
            <w:pPr>
              <w:spacing w:before="15" w:after="15"/>
              <w:ind w:left="15" w:right="15"/>
              <w:jc w:val="right"/>
              <w:rPr>
                <w:rFonts w:asciiTheme="majorHAnsi" w:hAnsiTheme="majorHAnsi"/>
                <w:b/>
                <w:bCs/>
                <w:color w:val="333333"/>
              </w:rPr>
            </w:pPr>
          </w:p>
          <w:p w14:paraId="6BC1E685" w14:textId="77777777" w:rsidR="00153816" w:rsidRDefault="00153816" w:rsidP="006B1E56">
            <w:pPr>
              <w:spacing w:before="15" w:after="15"/>
              <w:ind w:left="15" w:right="15"/>
              <w:jc w:val="right"/>
              <w:rPr>
                <w:rFonts w:asciiTheme="majorHAnsi" w:hAnsiTheme="majorHAnsi"/>
                <w:b/>
                <w:bCs/>
                <w:color w:val="333333"/>
              </w:rPr>
            </w:pPr>
          </w:p>
          <w:p w14:paraId="08B57375" w14:textId="77777777" w:rsidR="00153816" w:rsidRPr="00EE05AA" w:rsidRDefault="00153816" w:rsidP="006B1E56">
            <w:pPr>
              <w:spacing w:before="15" w:after="15"/>
              <w:ind w:left="15" w:right="15"/>
              <w:jc w:val="right"/>
              <w:rPr>
                <w:rFonts w:asciiTheme="majorHAnsi" w:hAnsiTheme="majorHAnsi"/>
                <w:b/>
                <w:bCs/>
                <w:color w:val="333333"/>
              </w:rPr>
            </w:pPr>
          </w:p>
          <w:p w14:paraId="341AFBCA" w14:textId="77777777" w:rsidR="00153816" w:rsidRDefault="00153816" w:rsidP="006B1E56">
            <w:pPr>
              <w:spacing w:before="15" w:after="15"/>
              <w:ind w:left="15" w:right="15"/>
              <w:jc w:val="right"/>
              <w:rPr>
                <w:rFonts w:asciiTheme="majorHAnsi" w:hAnsiTheme="majorHAnsi"/>
                <w:b/>
                <w:bCs/>
                <w:color w:val="333333"/>
              </w:rPr>
            </w:pPr>
          </w:p>
          <w:p w14:paraId="0A3A3546" w14:textId="77777777" w:rsidR="00153816" w:rsidRDefault="00153816" w:rsidP="006B1E56">
            <w:pPr>
              <w:spacing w:before="15" w:after="15"/>
              <w:ind w:left="15" w:right="15"/>
              <w:jc w:val="right"/>
              <w:rPr>
                <w:rFonts w:asciiTheme="majorHAnsi" w:hAnsiTheme="majorHAnsi"/>
                <w:b/>
                <w:bCs/>
                <w:color w:val="333333"/>
              </w:rPr>
            </w:pPr>
          </w:p>
          <w:p w14:paraId="761A7D71" w14:textId="77777777" w:rsidR="00153816" w:rsidRDefault="00153816" w:rsidP="006B1E56">
            <w:pPr>
              <w:spacing w:before="15" w:after="15"/>
              <w:ind w:left="15" w:right="15"/>
              <w:jc w:val="right"/>
              <w:rPr>
                <w:rFonts w:asciiTheme="majorHAnsi" w:hAnsiTheme="majorHAnsi"/>
                <w:b/>
                <w:bCs/>
                <w:color w:val="333333"/>
              </w:rPr>
            </w:pPr>
          </w:p>
          <w:p w14:paraId="714B4F09" w14:textId="77777777" w:rsidR="00153816" w:rsidRPr="00EE05AA" w:rsidRDefault="00153816" w:rsidP="006B1E56">
            <w:pPr>
              <w:spacing w:before="15" w:after="15"/>
              <w:ind w:left="15" w:right="15"/>
              <w:jc w:val="right"/>
              <w:rPr>
                <w:rFonts w:asciiTheme="majorHAnsi" w:hAnsiTheme="majorHAnsi"/>
                <w:b/>
                <w:bCs/>
                <w:color w:val="333333"/>
              </w:rPr>
            </w:pPr>
          </w:p>
          <w:p w14:paraId="7123F731" w14:textId="77777777" w:rsidR="00153816" w:rsidRPr="00EE05AA" w:rsidRDefault="00153816" w:rsidP="006B1E56">
            <w:pPr>
              <w:spacing w:before="15" w:after="15"/>
              <w:ind w:left="15" w:right="15"/>
              <w:jc w:val="right"/>
              <w:rPr>
                <w:rFonts w:asciiTheme="majorHAnsi" w:hAnsiTheme="majorHAnsi"/>
                <w:b/>
                <w:bCs/>
                <w:color w:val="333333"/>
              </w:rPr>
            </w:pPr>
          </w:p>
          <w:p w14:paraId="0BCEF470"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w:t>
            </w:r>
          </w:p>
        </w:tc>
        <w:tc>
          <w:tcPr>
            <w:tcW w:w="678" w:type="dxa"/>
            <w:gridSpan w:val="2"/>
            <w:tcBorders>
              <w:bottom w:val="dotted" w:sz="6" w:space="0" w:color="E9E6E6"/>
            </w:tcBorders>
            <w:tcMar>
              <w:top w:w="72" w:type="dxa"/>
              <w:left w:w="30" w:type="dxa"/>
              <w:bottom w:w="72" w:type="dxa"/>
              <w:right w:w="30" w:type="dxa"/>
            </w:tcMar>
            <w:hideMark/>
          </w:tcPr>
          <w:p w14:paraId="1D8413E1" w14:textId="77777777" w:rsidR="00153816" w:rsidRPr="00EE05AA" w:rsidRDefault="00153816" w:rsidP="006B1E56">
            <w:pPr>
              <w:spacing w:before="15" w:after="15"/>
              <w:ind w:left="15" w:right="15"/>
              <w:jc w:val="right"/>
              <w:rPr>
                <w:rFonts w:asciiTheme="majorHAnsi" w:hAnsiTheme="majorHAnsi"/>
                <w:b/>
                <w:bCs/>
                <w:color w:val="333333"/>
              </w:rPr>
            </w:pPr>
          </w:p>
          <w:p w14:paraId="6EFB5223" w14:textId="77777777" w:rsidR="00153816" w:rsidRPr="00EE05AA" w:rsidRDefault="00153816" w:rsidP="006B1E56">
            <w:pPr>
              <w:spacing w:before="15" w:after="15"/>
              <w:ind w:left="15" w:right="15"/>
              <w:jc w:val="right"/>
              <w:rPr>
                <w:rFonts w:asciiTheme="majorHAnsi" w:hAnsiTheme="majorHAnsi"/>
                <w:b/>
                <w:bCs/>
                <w:color w:val="333333"/>
              </w:rPr>
            </w:pPr>
          </w:p>
          <w:p w14:paraId="3A8AF9C8" w14:textId="77777777" w:rsidR="00153816" w:rsidRDefault="00153816" w:rsidP="006B1E56">
            <w:pPr>
              <w:spacing w:before="15" w:after="15"/>
              <w:ind w:left="15" w:right="15"/>
              <w:jc w:val="right"/>
              <w:rPr>
                <w:rFonts w:asciiTheme="majorHAnsi" w:hAnsiTheme="majorHAnsi"/>
                <w:b/>
                <w:bCs/>
                <w:color w:val="333333"/>
              </w:rPr>
            </w:pPr>
          </w:p>
          <w:p w14:paraId="009D4B3F" w14:textId="77777777" w:rsidR="00153816" w:rsidRDefault="00153816" w:rsidP="006B1E56">
            <w:pPr>
              <w:spacing w:before="15" w:after="15"/>
              <w:ind w:left="15" w:right="15"/>
              <w:jc w:val="right"/>
              <w:rPr>
                <w:rFonts w:asciiTheme="majorHAnsi" w:hAnsiTheme="majorHAnsi"/>
                <w:b/>
                <w:bCs/>
                <w:color w:val="333333"/>
              </w:rPr>
            </w:pPr>
          </w:p>
          <w:p w14:paraId="2D5C5E58" w14:textId="77777777" w:rsidR="00153816" w:rsidRDefault="00153816" w:rsidP="006B1E56">
            <w:pPr>
              <w:spacing w:before="15" w:after="15"/>
              <w:ind w:left="15" w:right="15"/>
              <w:jc w:val="right"/>
              <w:rPr>
                <w:rFonts w:asciiTheme="majorHAnsi" w:hAnsiTheme="majorHAnsi"/>
                <w:b/>
                <w:bCs/>
                <w:color w:val="333333"/>
              </w:rPr>
            </w:pPr>
          </w:p>
          <w:p w14:paraId="4B9C211F" w14:textId="77777777" w:rsidR="00153816" w:rsidRDefault="00153816" w:rsidP="006B1E56">
            <w:pPr>
              <w:spacing w:before="15" w:after="15"/>
              <w:ind w:left="15" w:right="15"/>
              <w:jc w:val="right"/>
              <w:rPr>
                <w:rFonts w:asciiTheme="majorHAnsi" w:hAnsiTheme="majorHAnsi"/>
                <w:b/>
                <w:bCs/>
                <w:color w:val="333333"/>
              </w:rPr>
            </w:pPr>
          </w:p>
          <w:p w14:paraId="3FAF8EB9" w14:textId="77777777" w:rsidR="00153816" w:rsidRPr="00EE05AA" w:rsidRDefault="00153816" w:rsidP="006B1E56">
            <w:pPr>
              <w:spacing w:before="15" w:after="15"/>
              <w:ind w:left="15" w:right="15"/>
              <w:jc w:val="right"/>
              <w:rPr>
                <w:rFonts w:asciiTheme="majorHAnsi" w:hAnsiTheme="majorHAnsi"/>
                <w:b/>
                <w:bCs/>
                <w:color w:val="333333"/>
              </w:rPr>
            </w:pPr>
          </w:p>
          <w:p w14:paraId="4D0312F1" w14:textId="77777777" w:rsidR="00153816" w:rsidRPr="00EE05AA" w:rsidRDefault="00153816" w:rsidP="006B1E56">
            <w:pPr>
              <w:spacing w:before="15" w:after="15"/>
              <w:ind w:left="15" w:right="15"/>
              <w:jc w:val="right"/>
              <w:rPr>
                <w:rFonts w:asciiTheme="majorHAnsi" w:hAnsiTheme="majorHAnsi"/>
                <w:b/>
                <w:bCs/>
                <w:color w:val="333333"/>
              </w:rPr>
            </w:pPr>
          </w:p>
          <w:p w14:paraId="09FA8930" w14:textId="77777777" w:rsidR="00153816" w:rsidRPr="00EE05AA" w:rsidRDefault="00153816" w:rsidP="006B1E56">
            <w:pPr>
              <w:spacing w:before="15" w:after="15"/>
              <w:ind w:left="15" w:right="15"/>
              <w:jc w:val="right"/>
              <w:rPr>
                <w:rFonts w:asciiTheme="majorHAnsi" w:hAnsiTheme="majorHAnsi"/>
                <w:b/>
                <w:bCs/>
                <w:color w:val="333333"/>
              </w:rPr>
            </w:pPr>
          </w:p>
          <w:p w14:paraId="6B6D9D8C" w14:textId="77777777" w:rsidR="00153816" w:rsidRPr="00EE05AA" w:rsidRDefault="00153816" w:rsidP="006B1E56">
            <w:pPr>
              <w:spacing w:before="15" w:after="15"/>
              <w:ind w:left="15" w:right="15"/>
              <w:jc w:val="right"/>
              <w:rPr>
                <w:rFonts w:asciiTheme="majorHAnsi" w:hAnsiTheme="majorHAnsi"/>
                <w:b/>
                <w:bCs/>
                <w:color w:val="333333"/>
              </w:rPr>
            </w:pPr>
          </w:p>
          <w:p w14:paraId="6741FD04" w14:textId="77777777" w:rsidR="00153816" w:rsidRPr="00EE05AA" w:rsidRDefault="00153816" w:rsidP="006B1E56">
            <w:pPr>
              <w:spacing w:before="15" w:after="15"/>
              <w:ind w:left="15" w:right="15"/>
              <w:jc w:val="right"/>
              <w:rPr>
                <w:rFonts w:asciiTheme="majorHAnsi" w:hAnsiTheme="majorHAnsi"/>
                <w:b/>
                <w:bCs/>
                <w:color w:val="333333"/>
              </w:rPr>
            </w:pPr>
          </w:p>
          <w:p w14:paraId="699477B7"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South East</w:t>
            </w:r>
            <w:r w:rsidRPr="00EE05AA">
              <w:rPr>
                <w:rFonts w:asciiTheme="majorHAnsi" w:hAnsiTheme="majorHAnsi"/>
                <w:b/>
                <w:bCs/>
                <w:color w:val="333333"/>
              </w:rPr>
              <w:br/>
              <w:t>(%)</w:t>
            </w:r>
          </w:p>
        </w:tc>
        <w:tc>
          <w:tcPr>
            <w:tcW w:w="2507" w:type="dxa"/>
            <w:tcBorders>
              <w:bottom w:val="dotted" w:sz="6" w:space="0" w:color="E9E6E6"/>
            </w:tcBorders>
            <w:tcMar>
              <w:top w:w="72" w:type="dxa"/>
              <w:left w:w="30" w:type="dxa"/>
              <w:bottom w:w="72" w:type="dxa"/>
              <w:right w:w="30" w:type="dxa"/>
            </w:tcMar>
            <w:hideMark/>
          </w:tcPr>
          <w:p w14:paraId="7FC18B95" w14:textId="77777777" w:rsidR="00153816" w:rsidRPr="00EE05AA" w:rsidRDefault="00153816" w:rsidP="006B1E56">
            <w:pPr>
              <w:spacing w:before="15" w:after="15"/>
              <w:ind w:right="15"/>
              <w:rPr>
                <w:rFonts w:asciiTheme="majorHAnsi" w:hAnsiTheme="majorHAnsi"/>
                <w:b/>
                <w:bCs/>
                <w:color w:val="333333"/>
              </w:rPr>
            </w:pPr>
          </w:p>
          <w:p w14:paraId="3F14C6BE" w14:textId="77777777" w:rsidR="00153816" w:rsidRPr="00EE05AA" w:rsidRDefault="00153816" w:rsidP="006B1E56">
            <w:pPr>
              <w:spacing w:before="15" w:after="15"/>
              <w:ind w:left="15" w:right="15"/>
              <w:jc w:val="center"/>
              <w:rPr>
                <w:rFonts w:asciiTheme="majorHAnsi" w:hAnsiTheme="majorHAnsi"/>
                <w:b/>
                <w:bCs/>
                <w:color w:val="333333"/>
              </w:rPr>
            </w:pPr>
          </w:p>
          <w:p w14:paraId="1B194B5B" w14:textId="77777777" w:rsidR="00153816" w:rsidRDefault="00153816" w:rsidP="006B1E56">
            <w:pPr>
              <w:spacing w:before="15" w:after="15"/>
              <w:ind w:left="15" w:right="15"/>
              <w:jc w:val="center"/>
              <w:rPr>
                <w:rFonts w:asciiTheme="majorHAnsi" w:hAnsiTheme="majorHAnsi"/>
                <w:b/>
                <w:bCs/>
                <w:color w:val="333333"/>
              </w:rPr>
            </w:pPr>
          </w:p>
          <w:p w14:paraId="346C9DDA" w14:textId="77777777" w:rsidR="00153816" w:rsidRDefault="00153816" w:rsidP="006B1E56">
            <w:pPr>
              <w:spacing w:before="15" w:after="15"/>
              <w:ind w:left="15" w:right="15"/>
              <w:jc w:val="center"/>
              <w:rPr>
                <w:rFonts w:asciiTheme="majorHAnsi" w:hAnsiTheme="majorHAnsi"/>
                <w:b/>
                <w:bCs/>
                <w:color w:val="333333"/>
              </w:rPr>
            </w:pPr>
          </w:p>
          <w:p w14:paraId="45F08C16" w14:textId="77777777" w:rsidR="00153816" w:rsidRDefault="00153816" w:rsidP="006B1E56">
            <w:pPr>
              <w:spacing w:before="15" w:after="15"/>
              <w:ind w:left="15" w:right="15"/>
              <w:jc w:val="center"/>
              <w:rPr>
                <w:rFonts w:asciiTheme="majorHAnsi" w:hAnsiTheme="majorHAnsi"/>
                <w:b/>
                <w:bCs/>
                <w:color w:val="333333"/>
              </w:rPr>
            </w:pPr>
          </w:p>
          <w:p w14:paraId="383B044E" w14:textId="77777777" w:rsidR="00153816" w:rsidRDefault="00153816" w:rsidP="006B1E56">
            <w:pPr>
              <w:spacing w:before="15" w:after="15"/>
              <w:ind w:left="15" w:right="15"/>
              <w:jc w:val="center"/>
              <w:rPr>
                <w:rFonts w:asciiTheme="majorHAnsi" w:hAnsiTheme="majorHAnsi"/>
                <w:b/>
                <w:bCs/>
                <w:color w:val="333333"/>
              </w:rPr>
            </w:pPr>
          </w:p>
          <w:p w14:paraId="4B20F5C8" w14:textId="77777777" w:rsidR="00153816" w:rsidRDefault="00153816" w:rsidP="006B1E56">
            <w:pPr>
              <w:spacing w:before="15" w:after="15"/>
              <w:ind w:left="15" w:right="15"/>
              <w:jc w:val="center"/>
              <w:rPr>
                <w:rFonts w:asciiTheme="majorHAnsi" w:hAnsiTheme="majorHAnsi"/>
                <w:b/>
                <w:bCs/>
                <w:color w:val="333333"/>
              </w:rPr>
            </w:pPr>
          </w:p>
          <w:p w14:paraId="4A81E481" w14:textId="77777777" w:rsidR="00153816" w:rsidRDefault="00153816" w:rsidP="006B1E56">
            <w:pPr>
              <w:spacing w:before="15" w:after="15"/>
              <w:ind w:left="15" w:right="15"/>
              <w:jc w:val="center"/>
              <w:rPr>
                <w:rFonts w:asciiTheme="majorHAnsi" w:hAnsiTheme="majorHAnsi"/>
                <w:b/>
                <w:bCs/>
                <w:color w:val="333333"/>
              </w:rPr>
            </w:pPr>
          </w:p>
          <w:p w14:paraId="74280373" w14:textId="77777777" w:rsidR="00153816" w:rsidRDefault="00153816" w:rsidP="006B1E56">
            <w:pPr>
              <w:spacing w:before="15" w:after="15"/>
              <w:ind w:left="15" w:right="15"/>
              <w:jc w:val="center"/>
              <w:rPr>
                <w:rFonts w:asciiTheme="majorHAnsi" w:hAnsiTheme="majorHAnsi"/>
                <w:b/>
                <w:bCs/>
                <w:color w:val="333333"/>
              </w:rPr>
            </w:pPr>
          </w:p>
          <w:p w14:paraId="3E1943C5" w14:textId="77777777" w:rsidR="00153816" w:rsidRDefault="00153816" w:rsidP="006B1E56">
            <w:pPr>
              <w:spacing w:before="15" w:after="15"/>
              <w:ind w:left="15" w:right="15"/>
              <w:jc w:val="center"/>
              <w:rPr>
                <w:rFonts w:asciiTheme="majorHAnsi" w:hAnsiTheme="majorHAnsi"/>
                <w:b/>
                <w:bCs/>
                <w:color w:val="333333"/>
              </w:rPr>
            </w:pPr>
          </w:p>
          <w:p w14:paraId="6A49B31B" w14:textId="77777777" w:rsidR="00153816" w:rsidRDefault="00153816" w:rsidP="006B1E56">
            <w:pPr>
              <w:spacing w:before="15" w:after="15"/>
              <w:ind w:left="15" w:right="15"/>
              <w:jc w:val="center"/>
              <w:rPr>
                <w:rFonts w:asciiTheme="majorHAnsi" w:hAnsiTheme="majorHAnsi"/>
                <w:b/>
                <w:bCs/>
                <w:color w:val="333333"/>
              </w:rPr>
            </w:pPr>
          </w:p>
          <w:p w14:paraId="28690B25" w14:textId="77777777" w:rsidR="00153816" w:rsidRDefault="00153816" w:rsidP="006B1E56">
            <w:pPr>
              <w:spacing w:before="15" w:after="15"/>
              <w:ind w:left="15" w:right="15"/>
              <w:jc w:val="center"/>
              <w:rPr>
                <w:rFonts w:asciiTheme="majorHAnsi" w:hAnsiTheme="majorHAnsi"/>
                <w:b/>
                <w:bCs/>
                <w:color w:val="333333"/>
              </w:rPr>
            </w:pPr>
          </w:p>
          <w:p w14:paraId="60DD5957" w14:textId="77777777" w:rsidR="00153816" w:rsidRPr="00EE05AA" w:rsidRDefault="00153816" w:rsidP="006B1E56">
            <w:pPr>
              <w:spacing w:before="15" w:after="15"/>
              <w:ind w:left="15" w:right="15"/>
              <w:jc w:val="center"/>
              <w:rPr>
                <w:rFonts w:asciiTheme="majorHAnsi" w:hAnsiTheme="majorHAnsi"/>
                <w:b/>
                <w:bCs/>
                <w:color w:val="333333"/>
              </w:rPr>
            </w:pPr>
          </w:p>
          <w:p w14:paraId="26B942B6" w14:textId="77777777" w:rsidR="00153816" w:rsidRPr="00EE05AA" w:rsidRDefault="00153816" w:rsidP="006B1E56">
            <w:pPr>
              <w:spacing w:before="15" w:after="15"/>
              <w:ind w:left="15" w:right="15"/>
              <w:jc w:val="center"/>
              <w:rPr>
                <w:rFonts w:asciiTheme="majorHAnsi" w:hAnsiTheme="majorHAnsi"/>
                <w:b/>
                <w:bCs/>
                <w:color w:val="333333"/>
              </w:rPr>
            </w:pPr>
            <w:r w:rsidRPr="00EE05AA">
              <w:rPr>
                <w:rFonts w:asciiTheme="majorHAnsi" w:hAnsiTheme="majorHAnsi"/>
                <w:b/>
                <w:bCs/>
                <w:color w:val="333333"/>
              </w:rPr>
              <w:t>Great Britain</w:t>
            </w:r>
            <w:r w:rsidRPr="00EE05AA">
              <w:rPr>
                <w:rFonts w:asciiTheme="majorHAnsi" w:hAnsiTheme="majorHAnsi"/>
                <w:b/>
                <w:bCs/>
                <w:color w:val="333333"/>
              </w:rPr>
              <w:br/>
              <w:t>(%)</w:t>
            </w:r>
          </w:p>
        </w:tc>
      </w:tr>
      <w:tr w:rsidR="00153816" w:rsidRPr="00EE05AA" w14:paraId="6DB1519A" w14:textId="77777777" w:rsidTr="006B1E56">
        <w:trPr>
          <w:gridBefore w:val="2"/>
          <w:gridAfter w:val="1"/>
          <w:wBefore w:w="381" w:type="dxa"/>
          <w:wAfter w:w="95" w:type="dxa"/>
          <w:tblCellSpacing w:w="15" w:type="dxa"/>
        </w:trPr>
        <w:tc>
          <w:tcPr>
            <w:tcW w:w="10886" w:type="dxa"/>
            <w:gridSpan w:val="12"/>
            <w:tcBorders>
              <w:bottom w:val="single" w:sz="12" w:space="0" w:color="C0C0C0"/>
            </w:tcBorders>
            <w:tcMar>
              <w:top w:w="72" w:type="dxa"/>
              <w:left w:w="15" w:type="dxa"/>
              <w:bottom w:w="72" w:type="dxa"/>
              <w:right w:w="15" w:type="dxa"/>
            </w:tcMar>
            <w:vAlign w:val="center"/>
            <w:hideMark/>
          </w:tcPr>
          <w:p w14:paraId="56AAB367" w14:textId="77777777" w:rsidR="00153816" w:rsidRPr="00EE05AA" w:rsidRDefault="00153816" w:rsidP="006B1E56">
            <w:pPr>
              <w:rPr>
                <w:rFonts w:asciiTheme="majorHAnsi" w:hAnsiTheme="majorHAnsi"/>
                <w:color w:val="333333"/>
              </w:rPr>
            </w:pPr>
            <w:r w:rsidRPr="00EE05AA">
              <w:rPr>
                <w:rFonts w:asciiTheme="majorHAnsi" w:hAnsiTheme="majorHAnsi"/>
                <w:b/>
                <w:bCs/>
                <w:color w:val="333333"/>
              </w:rPr>
              <w:t>All People</w:t>
            </w:r>
          </w:p>
        </w:tc>
      </w:tr>
      <w:tr w:rsidR="00153816" w:rsidRPr="00EE05AA" w14:paraId="651BE157" w14:textId="77777777" w:rsidTr="006B1E56">
        <w:trPr>
          <w:gridBefore w:val="2"/>
          <w:gridAfter w:val="1"/>
          <w:wBefore w:w="381" w:type="dxa"/>
          <w:wAfter w:w="95" w:type="dxa"/>
          <w:tblCellSpacing w:w="15" w:type="dxa"/>
        </w:trPr>
        <w:tc>
          <w:tcPr>
            <w:tcW w:w="3379" w:type="dxa"/>
            <w:gridSpan w:val="4"/>
            <w:tcBorders>
              <w:bottom w:val="dotted" w:sz="6" w:space="0" w:color="E9E6E6"/>
            </w:tcBorders>
            <w:noWrap/>
            <w:tcMar>
              <w:top w:w="72" w:type="dxa"/>
              <w:left w:w="0" w:type="dxa"/>
              <w:bottom w:w="72" w:type="dxa"/>
              <w:right w:w="0" w:type="dxa"/>
            </w:tcMar>
            <w:vAlign w:val="center"/>
            <w:hideMark/>
          </w:tcPr>
          <w:p w14:paraId="46948352"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Total</w:t>
            </w:r>
          </w:p>
        </w:tc>
        <w:tc>
          <w:tcPr>
            <w:tcW w:w="0" w:type="auto"/>
            <w:gridSpan w:val="3"/>
            <w:tcBorders>
              <w:bottom w:val="dotted" w:sz="6" w:space="0" w:color="E9E6E6"/>
            </w:tcBorders>
            <w:tcMar>
              <w:top w:w="45" w:type="dxa"/>
              <w:left w:w="45" w:type="dxa"/>
              <w:bottom w:w="45" w:type="dxa"/>
              <w:right w:w="45" w:type="dxa"/>
            </w:tcMar>
            <w:vAlign w:val="center"/>
            <w:hideMark/>
          </w:tcPr>
          <w:p w14:paraId="4A7EBCB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39,100</w:t>
            </w:r>
          </w:p>
        </w:tc>
        <w:tc>
          <w:tcPr>
            <w:tcW w:w="0" w:type="auto"/>
            <w:gridSpan w:val="2"/>
            <w:tcBorders>
              <w:bottom w:val="dotted" w:sz="6" w:space="0" w:color="E9E6E6"/>
            </w:tcBorders>
            <w:tcMar>
              <w:top w:w="45" w:type="dxa"/>
              <w:left w:w="45" w:type="dxa"/>
              <w:bottom w:w="45" w:type="dxa"/>
              <w:right w:w="45" w:type="dxa"/>
            </w:tcMar>
            <w:vAlign w:val="center"/>
            <w:hideMark/>
          </w:tcPr>
          <w:p w14:paraId="7B1B008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18.9</w:t>
            </w:r>
          </w:p>
        </w:tc>
        <w:tc>
          <w:tcPr>
            <w:tcW w:w="678" w:type="dxa"/>
            <w:gridSpan w:val="2"/>
            <w:tcBorders>
              <w:bottom w:val="dotted" w:sz="6" w:space="0" w:color="E9E6E6"/>
            </w:tcBorders>
            <w:tcMar>
              <w:top w:w="45" w:type="dxa"/>
              <w:left w:w="45" w:type="dxa"/>
              <w:bottom w:w="45" w:type="dxa"/>
              <w:right w:w="45" w:type="dxa"/>
            </w:tcMar>
            <w:vAlign w:val="center"/>
            <w:hideMark/>
          </w:tcPr>
          <w:p w14:paraId="55F0873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17.8</w:t>
            </w:r>
          </w:p>
        </w:tc>
        <w:tc>
          <w:tcPr>
            <w:tcW w:w="2507" w:type="dxa"/>
            <w:tcBorders>
              <w:bottom w:val="dotted" w:sz="6" w:space="0" w:color="E9E6E6"/>
            </w:tcBorders>
            <w:tcMar>
              <w:top w:w="45" w:type="dxa"/>
              <w:left w:w="45" w:type="dxa"/>
              <w:bottom w:w="45" w:type="dxa"/>
              <w:right w:w="45" w:type="dxa"/>
            </w:tcMar>
            <w:vAlign w:val="center"/>
            <w:hideMark/>
          </w:tcPr>
          <w:p w14:paraId="07806E80"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20.9</w:t>
            </w:r>
          </w:p>
        </w:tc>
      </w:tr>
      <w:tr w:rsidR="00153816" w:rsidRPr="00EE05AA" w14:paraId="37A2B360"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79A0B353"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Student</w:t>
            </w:r>
          </w:p>
        </w:tc>
        <w:tc>
          <w:tcPr>
            <w:tcW w:w="0" w:type="auto"/>
            <w:gridSpan w:val="3"/>
            <w:tcBorders>
              <w:bottom w:val="dotted" w:sz="6" w:space="0" w:color="E9E6E6"/>
            </w:tcBorders>
            <w:tcMar>
              <w:top w:w="45" w:type="dxa"/>
              <w:left w:w="45" w:type="dxa"/>
              <w:bottom w:w="45" w:type="dxa"/>
              <w:right w:w="45" w:type="dxa"/>
            </w:tcMar>
            <w:vAlign w:val="center"/>
            <w:hideMark/>
          </w:tcPr>
          <w:p w14:paraId="250C667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16,200</w:t>
            </w:r>
          </w:p>
        </w:tc>
        <w:tc>
          <w:tcPr>
            <w:tcW w:w="0" w:type="auto"/>
            <w:gridSpan w:val="2"/>
            <w:tcBorders>
              <w:bottom w:val="dotted" w:sz="6" w:space="0" w:color="E9E6E6"/>
            </w:tcBorders>
            <w:tcMar>
              <w:top w:w="45" w:type="dxa"/>
              <w:left w:w="45" w:type="dxa"/>
              <w:bottom w:w="45" w:type="dxa"/>
              <w:right w:w="45" w:type="dxa"/>
            </w:tcMar>
            <w:vAlign w:val="center"/>
            <w:hideMark/>
          </w:tcPr>
          <w:p w14:paraId="67C4ECF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41.4</w:t>
            </w:r>
          </w:p>
        </w:tc>
        <w:tc>
          <w:tcPr>
            <w:tcW w:w="678" w:type="dxa"/>
            <w:gridSpan w:val="2"/>
            <w:tcBorders>
              <w:bottom w:val="dotted" w:sz="6" w:space="0" w:color="E9E6E6"/>
            </w:tcBorders>
            <w:tcMar>
              <w:top w:w="45" w:type="dxa"/>
              <w:left w:w="45" w:type="dxa"/>
              <w:bottom w:w="45" w:type="dxa"/>
              <w:right w:w="45" w:type="dxa"/>
            </w:tcMar>
            <w:vAlign w:val="center"/>
            <w:hideMark/>
          </w:tcPr>
          <w:p w14:paraId="08C420A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26.6</w:t>
            </w:r>
          </w:p>
        </w:tc>
        <w:tc>
          <w:tcPr>
            <w:tcW w:w="2507" w:type="dxa"/>
            <w:tcBorders>
              <w:bottom w:val="dotted" w:sz="6" w:space="0" w:color="E9E6E6"/>
            </w:tcBorders>
            <w:tcMar>
              <w:top w:w="45" w:type="dxa"/>
              <w:left w:w="45" w:type="dxa"/>
              <w:bottom w:w="45" w:type="dxa"/>
              <w:right w:w="45" w:type="dxa"/>
            </w:tcMar>
            <w:vAlign w:val="center"/>
            <w:hideMark/>
          </w:tcPr>
          <w:p w14:paraId="6725FE89"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26.1</w:t>
            </w:r>
          </w:p>
        </w:tc>
      </w:tr>
      <w:tr w:rsidR="00153816" w:rsidRPr="00EE05AA" w14:paraId="29485EF4"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77C82909"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Looking After Family/Home</w:t>
            </w:r>
          </w:p>
        </w:tc>
        <w:tc>
          <w:tcPr>
            <w:tcW w:w="0" w:type="auto"/>
            <w:gridSpan w:val="3"/>
            <w:tcBorders>
              <w:bottom w:val="dotted" w:sz="6" w:space="0" w:color="E9E6E6"/>
            </w:tcBorders>
            <w:tcMar>
              <w:top w:w="45" w:type="dxa"/>
              <w:left w:w="45" w:type="dxa"/>
              <w:bottom w:w="45" w:type="dxa"/>
              <w:right w:w="45" w:type="dxa"/>
            </w:tcMar>
            <w:vAlign w:val="center"/>
            <w:hideMark/>
          </w:tcPr>
          <w:p w14:paraId="54DB433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4,200</w:t>
            </w:r>
          </w:p>
        </w:tc>
        <w:tc>
          <w:tcPr>
            <w:tcW w:w="0" w:type="auto"/>
            <w:gridSpan w:val="2"/>
            <w:tcBorders>
              <w:bottom w:val="dotted" w:sz="6" w:space="0" w:color="E9E6E6"/>
            </w:tcBorders>
            <w:tcMar>
              <w:top w:w="45" w:type="dxa"/>
              <w:left w:w="45" w:type="dxa"/>
              <w:bottom w:w="45" w:type="dxa"/>
              <w:right w:w="45" w:type="dxa"/>
            </w:tcMar>
            <w:vAlign w:val="center"/>
            <w:hideMark/>
          </w:tcPr>
          <w:p w14:paraId="7AAD91A1"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10.6</w:t>
            </w:r>
          </w:p>
        </w:tc>
        <w:tc>
          <w:tcPr>
            <w:tcW w:w="678" w:type="dxa"/>
            <w:gridSpan w:val="2"/>
            <w:tcBorders>
              <w:bottom w:val="dotted" w:sz="6" w:space="0" w:color="E9E6E6"/>
            </w:tcBorders>
            <w:tcMar>
              <w:top w:w="45" w:type="dxa"/>
              <w:left w:w="45" w:type="dxa"/>
              <w:bottom w:w="45" w:type="dxa"/>
              <w:right w:w="45" w:type="dxa"/>
            </w:tcMar>
            <w:vAlign w:val="center"/>
            <w:hideMark/>
          </w:tcPr>
          <w:p w14:paraId="6FB8BDB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20.9</w:t>
            </w:r>
          </w:p>
        </w:tc>
        <w:tc>
          <w:tcPr>
            <w:tcW w:w="2507" w:type="dxa"/>
            <w:tcBorders>
              <w:bottom w:val="dotted" w:sz="6" w:space="0" w:color="E9E6E6"/>
            </w:tcBorders>
            <w:tcMar>
              <w:top w:w="45" w:type="dxa"/>
              <w:left w:w="45" w:type="dxa"/>
              <w:bottom w:w="45" w:type="dxa"/>
              <w:right w:w="45" w:type="dxa"/>
            </w:tcMar>
            <w:vAlign w:val="center"/>
            <w:hideMark/>
          </w:tcPr>
          <w:p w14:paraId="1D538CAC"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21.7</w:t>
            </w:r>
          </w:p>
        </w:tc>
      </w:tr>
      <w:tr w:rsidR="00153816" w:rsidRPr="00EE05AA" w14:paraId="5C435FCD"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586F8085"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Temporary Sick</w:t>
            </w:r>
          </w:p>
        </w:tc>
        <w:tc>
          <w:tcPr>
            <w:tcW w:w="0" w:type="auto"/>
            <w:gridSpan w:val="3"/>
            <w:tcBorders>
              <w:bottom w:val="dotted" w:sz="6" w:space="0" w:color="E9E6E6"/>
            </w:tcBorders>
            <w:tcMar>
              <w:top w:w="45" w:type="dxa"/>
              <w:left w:w="45" w:type="dxa"/>
              <w:bottom w:w="45" w:type="dxa"/>
              <w:right w:w="45" w:type="dxa"/>
            </w:tcMar>
            <w:vAlign w:val="center"/>
            <w:hideMark/>
          </w:tcPr>
          <w:p w14:paraId="48A24BE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w:t>
            </w:r>
          </w:p>
        </w:tc>
        <w:tc>
          <w:tcPr>
            <w:tcW w:w="0" w:type="auto"/>
            <w:gridSpan w:val="2"/>
            <w:tcBorders>
              <w:bottom w:val="dotted" w:sz="6" w:space="0" w:color="E9E6E6"/>
            </w:tcBorders>
            <w:tcMar>
              <w:top w:w="45" w:type="dxa"/>
              <w:left w:w="45" w:type="dxa"/>
              <w:bottom w:w="45" w:type="dxa"/>
              <w:right w:w="45" w:type="dxa"/>
            </w:tcMar>
            <w:vAlign w:val="center"/>
            <w:hideMark/>
          </w:tcPr>
          <w:p w14:paraId="1546B1B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w:t>
            </w:r>
          </w:p>
        </w:tc>
        <w:tc>
          <w:tcPr>
            <w:tcW w:w="678" w:type="dxa"/>
            <w:gridSpan w:val="2"/>
            <w:tcBorders>
              <w:bottom w:val="dotted" w:sz="6" w:space="0" w:color="E9E6E6"/>
            </w:tcBorders>
            <w:tcMar>
              <w:top w:w="45" w:type="dxa"/>
              <w:left w:w="45" w:type="dxa"/>
              <w:bottom w:w="45" w:type="dxa"/>
              <w:right w:w="45" w:type="dxa"/>
            </w:tcMar>
            <w:vAlign w:val="center"/>
            <w:hideMark/>
          </w:tcPr>
          <w:p w14:paraId="541D6AD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w:t>
            </w:r>
          </w:p>
        </w:tc>
        <w:tc>
          <w:tcPr>
            <w:tcW w:w="2507" w:type="dxa"/>
            <w:tcBorders>
              <w:bottom w:val="dotted" w:sz="6" w:space="0" w:color="E9E6E6"/>
            </w:tcBorders>
            <w:tcMar>
              <w:top w:w="45" w:type="dxa"/>
              <w:left w:w="45" w:type="dxa"/>
              <w:bottom w:w="45" w:type="dxa"/>
              <w:right w:w="45" w:type="dxa"/>
            </w:tcMar>
            <w:vAlign w:val="center"/>
            <w:hideMark/>
          </w:tcPr>
          <w:p w14:paraId="07978E86"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1.8</w:t>
            </w:r>
          </w:p>
        </w:tc>
      </w:tr>
      <w:tr w:rsidR="00153816" w:rsidRPr="00EE05AA" w14:paraId="49783D8D"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1FBF335C"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Long-Term Sick</w:t>
            </w:r>
          </w:p>
        </w:tc>
        <w:tc>
          <w:tcPr>
            <w:tcW w:w="0" w:type="auto"/>
            <w:gridSpan w:val="3"/>
            <w:tcBorders>
              <w:bottom w:val="dotted" w:sz="6" w:space="0" w:color="E9E6E6"/>
            </w:tcBorders>
            <w:tcMar>
              <w:top w:w="45" w:type="dxa"/>
              <w:left w:w="45" w:type="dxa"/>
              <w:bottom w:w="45" w:type="dxa"/>
              <w:right w:w="45" w:type="dxa"/>
            </w:tcMar>
            <w:vAlign w:val="center"/>
            <w:hideMark/>
          </w:tcPr>
          <w:p w14:paraId="05221BE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9,300</w:t>
            </w:r>
          </w:p>
        </w:tc>
        <w:tc>
          <w:tcPr>
            <w:tcW w:w="0" w:type="auto"/>
            <w:gridSpan w:val="2"/>
            <w:tcBorders>
              <w:bottom w:val="dotted" w:sz="6" w:space="0" w:color="E9E6E6"/>
            </w:tcBorders>
            <w:tcMar>
              <w:top w:w="45" w:type="dxa"/>
              <w:left w:w="45" w:type="dxa"/>
              <w:bottom w:w="45" w:type="dxa"/>
              <w:right w:w="45" w:type="dxa"/>
            </w:tcMar>
            <w:vAlign w:val="center"/>
            <w:hideMark/>
          </w:tcPr>
          <w:p w14:paraId="089436D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23.7</w:t>
            </w:r>
          </w:p>
        </w:tc>
        <w:tc>
          <w:tcPr>
            <w:tcW w:w="678" w:type="dxa"/>
            <w:gridSpan w:val="2"/>
            <w:tcBorders>
              <w:bottom w:val="dotted" w:sz="6" w:space="0" w:color="E9E6E6"/>
            </w:tcBorders>
            <w:tcMar>
              <w:top w:w="45" w:type="dxa"/>
              <w:left w:w="45" w:type="dxa"/>
              <w:bottom w:w="45" w:type="dxa"/>
              <w:right w:w="45" w:type="dxa"/>
            </w:tcMar>
            <w:vAlign w:val="center"/>
            <w:hideMark/>
          </w:tcPr>
          <w:p w14:paraId="3908C77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20.2</w:t>
            </w:r>
          </w:p>
        </w:tc>
        <w:tc>
          <w:tcPr>
            <w:tcW w:w="2507" w:type="dxa"/>
            <w:tcBorders>
              <w:bottom w:val="dotted" w:sz="6" w:space="0" w:color="E9E6E6"/>
            </w:tcBorders>
            <w:tcMar>
              <w:top w:w="45" w:type="dxa"/>
              <w:left w:w="45" w:type="dxa"/>
              <w:bottom w:w="45" w:type="dxa"/>
              <w:right w:w="45" w:type="dxa"/>
            </w:tcMar>
            <w:vAlign w:val="center"/>
            <w:hideMark/>
          </w:tcPr>
          <w:p w14:paraId="20D93FFB"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24.0</w:t>
            </w:r>
          </w:p>
        </w:tc>
      </w:tr>
      <w:tr w:rsidR="00153816" w:rsidRPr="00EE05AA" w14:paraId="7C097822"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24DE1AFF" w14:textId="77777777" w:rsidR="00153816" w:rsidRPr="00EE05AA" w:rsidRDefault="00153816" w:rsidP="006B1E56">
            <w:pPr>
              <w:rPr>
                <w:rFonts w:asciiTheme="majorHAnsi" w:hAnsiTheme="majorHAnsi"/>
                <w:color w:val="333333"/>
              </w:rPr>
            </w:pPr>
            <w:r w:rsidRPr="00EE05AA">
              <w:rPr>
                <w:rFonts w:asciiTheme="majorHAnsi" w:hAnsiTheme="majorHAnsi"/>
                <w:color w:val="333333"/>
              </w:rPr>
              <w:lastRenderedPageBreak/>
              <w:t>Discouraged</w:t>
            </w:r>
          </w:p>
        </w:tc>
        <w:tc>
          <w:tcPr>
            <w:tcW w:w="0" w:type="auto"/>
            <w:gridSpan w:val="3"/>
            <w:tcBorders>
              <w:bottom w:val="dotted" w:sz="6" w:space="0" w:color="E9E6E6"/>
            </w:tcBorders>
            <w:tcMar>
              <w:top w:w="45" w:type="dxa"/>
              <w:left w:w="45" w:type="dxa"/>
              <w:bottom w:w="45" w:type="dxa"/>
              <w:right w:w="45" w:type="dxa"/>
            </w:tcMar>
            <w:vAlign w:val="center"/>
            <w:hideMark/>
          </w:tcPr>
          <w:p w14:paraId="77BE7B2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w:t>
            </w:r>
          </w:p>
        </w:tc>
        <w:tc>
          <w:tcPr>
            <w:tcW w:w="0" w:type="auto"/>
            <w:gridSpan w:val="2"/>
            <w:tcBorders>
              <w:bottom w:val="dotted" w:sz="6" w:space="0" w:color="E9E6E6"/>
            </w:tcBorders>
            <w:tcMar>
              <w:top w:w="45" w:type="dxa"/>
              <w:left w:w="45" w:type="dxa"/>
              <w:bottom w:w="45" w:type="dxa"/>
              <w:right w:w="45" w:type="dxa"/>
            </w:tcMar>
            <w:vAlign w:val="center"/>
            <w:hideMark/>
          </w:tcPr>
          <w:p w14:paraId="6186A0A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w:t>
            </w:r>
          </w:p>
        </w:tc>
        <w:tc>
          <w:tcPr>
            <w:tcW w:w="678" w:type="dxa"/>
            <w:gridSpan w:val="2"/>
            <w:tcBorders>
              <w:bottom w:val="dotted" w:sz="6" w:space="0" w:color="E9E6E6"/>
            </w:tcBorders>
            <w:tcMar>
              <w:top w:w="45" w:type="dxa"/>
              <w:left w:w="45" w:type="dxa"/>
              <w:bottom w:w="45" w:type="dxa"/>
              <w:right w:w="45" w:type="dxa"/>
            </w:tcMar>
            <w:vAlign w:val="center"/>
            <w:hideMark/>
          </w:tcPr>
          <w:p w14:paraId="04CE876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0.4</w:t>
            </w:r>
          </w:p>
        </w:tc>
        <w:tc>
          <w:tcPr>
            <w:tcW w:w="2507" w:type="dxa"/>
            <w:tcBorders>
              <w:bottom w:val="dotted" w:sz="6" w:space="0" w:color="E9E6E6"/>
            </w:tcBorders>
            <w:tcMar>
              <w:top w:w="45" w:type="dxa"/>
              <w:left w:w="45" w:type="dxa"/>
              <w:bottom w:w="45" w:type="dxa"/>
              <w:right w:w="45" w:type="dxa"/>
            </w:tcMar>
            <w:vAlign w:val="center"/>
            <w:hideMark/>
          </w:tcPr>
          <w:p w14:paraId="022C641E"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0.5</w:t>
            </w:r>
          </w:p>
        </w:tc>
      </w:tr>
      <w:tr w:rsidR="00153816" w:rsidRPr="00EE05AA" w14:paraId="75EBA7EC"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1252BB20"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Retired</w:t>
            </w:r>
          </w:p>
        </w:tc>
        <w:tc>
          <w:tcPr>
            <w:tcW w:w="0" w:type="auto"/>
            <w:gridSpan w:val="3"/>
            <w:tcBorders>
              <w:bottom w:val="dotted" w:sz="6" w:space="0" w:color="E9E6E6"/>
            </w:tcBorders>
            <w:tcMar>
              <w:top w:w="45" w:type="dxa"/>
              <w:left w:w="45" w:type="dxa"/>
              <w:bottom w:w="45" w:type="dxa"/>
              <w:right w:w="45" w:type="dxa"/>
            </w:tcMar>
            <w:vAlign w:val="center"/>
            <w:hideMark/>
          </w:tcPr>
          <w:p w14:paraId="0AE16E1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4,200</w:t>
            </w:r>
          </w:p>
        </w:tc>
        <w:tc>
          <w:tcPr>
            <w:tcW w:w="0" w:type="auto"/>
            <w:gridSpan w:val="2"/>
            <w:tcBorders>
              <w:bottom w:val="dotted" w:sz="6" w:space="0" w:color="E9E6E6"/>
            </w:tcBorders>
            <w:tcMar>
              <w:top w:w="45" w:type="dxa"/>
              <w:left w:w="45" w:type="dxa"/>
              <w:bottom w:w="45" w:type="dxa"/>
              <w:right w:w="45" w:type="dxa"/>
            </w:tcMar>
            <w:vAlign w:val="center"/>
            <w:hideMark/>
          </w:tcPr>
          <w:p w14:paraId="0549AD1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10.8</w:t>
            </w:r>
          </w:p>
        </w:tc>
        <w:tc>
          <w:tcPr>
            <w:tcW w:w="678" w:type="dxa"/>
            <w:gridSpan w:val="2"/>
            <w:tcBorders>
              <w:bottom w:val="dotted" w:sz="6" w:space="0" w:color="E9E6E6"/>
            </w:tcBorders>
            <w:tcMar>
              <w:top w:w="45" w:type="dxa"/>
              <w:left w:w="45" w:type="dxa"/>
              <w:bottom w:w="45" w:type="dxa"/>
              <w:right w:w="45" w:type="dxa"/>
            </w:tcMar>
            <w:vAlign w:val="center"/>
            <w:hideMark/>
          </w:tcPr>
          <w:p w14:paraId="7683314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16.1</w:t>
            </w:r>
          </w:p>
        </w:tc>
        <w:tc>
          <w:tcPr>
            <w:tcW w:w="2507" w:type="dxa"/>
            <w:tcBorders>
              <w:bottom w:val="dotted" w:sz="6" w:space="0" w:color="E9E6E6"/>
            </w:tcBorders>
            <w:tcMar>
              <w:top w:w="45" w:type="dxa"/>
              <w:left w:w="45" w:type="dxa"/>
              <w:bottom w:w="45" w:type="dxa"/>
              <w:right w:w="45" w:type="dxa"/>
            </w:tcMar>
            <w:vAlign w:val="center"/>
            <w:hideMark/>
          </w:tcPr>
          <w:p w14:paraId="2206B21C"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13.1</w:t>
            </w:r>
          </w:p>
        </w:tc>
      </w:tr>
      <w:tr w:rsidR="00153816" w:rsidRPr="00EE05AA" w14:paraId="549A2071" w14:textId="77777777" w:rsidTr="006B1E56">
        <w:trPr>
          <w:gridBefore w:val="2"/>
          <w:gridAfter w:val="1"/>
          <w:wBefore w:w="381" w:type="dxa"/>
          <w:wAfter w:w="95" w:type="dxa"/>
          <w:tblCellSpacing w:w="15" w:type="dxa"/>
        </w:trPr>
        <w:tc>
          <w:tcPr>
            <w:tcW w:w="3379" w:type="dxa"/>
            <w:gridSpan w:val="4"/>
            <w:tcBorders>
              <w:bottom w:val="dotted" w:sz="6" w:space="0" w:color="E9E6E6"/>
            </w:tcBorders>
            <w:tcMar>
              <w:top w:w="72" w:type="dxa"/>
              <w:left w:w="240" w:type="dxa"/>
              <w:bottom w:w="72" w:type="dxa"/>
              <w:right w:w="0" w:type="dxa"/>
            </w:tcMar>
            <w:vAlign w:val="center"/>
            <w:hideMark/>
          </w:tcPr>
          <w:p w14:paraId="6C95FB13"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Other</w:t>
            </w:r>
          </w:p>
        </w:tc>
        <w:tc>
          <w:tcPr>
            <w:tcW w:w="0" w:type="auto"/>
            <w:gridSpan w:val="3"/>
            <w:tcBorders>
              <w:bottom w:val="dotted" w:sz="6" w:space="0" w:color="E9E6E6"/>
            </w:tcBorders>
            <w:tcMar>
              <w:top w:w="45" w:type="dxa"/>
              <w:left w:w="45" w:type="dxa"/>
              <w:bottom w:w="45" w:type="dxa"/>
              <w:right w:w="45" w:type="dxa"/>
            </w:tcMar>
            <w:vAlign w:val="center"/>
            <w:hideMark/>
          </w:tcPr>
          <w:p w14:paraId="50CDE8E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4,700</w:t>
            </w:r>
          </w:p>
        </w:tc>
        <w:tc>
          <w:tcPr>
            <w:tcW w:w="0" w:type="auto"/>
            <w:gridSpan w:val="2"/>
            <w:tcBorders>
              <w:bottom w:val="dotted" w:sz="6" w:space="0" w:color="E9E6E6"/>
            </w:tcBorders>
            <w:tcMar>
              <w:top w:w="45" w:type="dxa"/>
              <w:left w:w="45" w:type="dxa"/>
              <w:bottom w:w="45" w:type="dxa"/>
              <w:right w:w="45" w:type="dxa"/>
            </w:tcMar>
            <w:vAlign w:val="center"/>
            <w:hideMark/>
          </w:tcPr>
          <w:p w14:paraId="066DFB5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11.9</w:t>
            </w:r>
          </w:p>
        </w:tc>
        <w:tc>
          <w:tcPr>
            <w:tcW w:w="678" w:type="dxa"/>
            <w:gridSpan w:val="2"/>
            <w:tcBorders>
              <w:bottom w:val="dotted" w:sz="6" w:space="0" w:color="E9E6E6"/>
            </w:tcBorders>
            <w:tcMar>
              <w:top w:w="45" w:type="dxa"/>
              <w:left w:w="45" w:type="dxa"/>
              <w:bottom w:w="45" w:type="dxa"/>
              <w:right w:w="45" w:type="dxa"/>
            </w:tcMar>
            <w:vAlign w:val="center"/>
            <w:hideMark/>
          </w:tcPr>
          <w:p w14:paraId="4450A66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14.2</w:t>
            </w:r>
          </w:p>
        </w:tc>
        <w:tc>
          <w:tcPr>
            <w:tcW w:w="2507" w:type="dxa"/>
            <w:tcBorders>
              <w:bottom w:val="dotted" w:sz="6" w:space="0" w:color="E9E6E6"/>
            </w:tcBorders>
            <w:tcMar>
              <w:top w:w="45" w:type="dxa"/>
              <w:left w:w="45" w:type="dxa"/>
              <w:bottom w:w="45" w:type="dxa"/>
              <w:right w:w="45" w:type="dxa"/>
            </w:tcMar>
            <w:vAlign w:val="center"/>
            <w:hideMark/>
          </w:tcPr>
          <w:p w14:paraId="650D91AA" w14:textId="77777777" w:rsidR="00153816" w:rsidRPr="00EE05AA" w:rsidRDefault="00153816" w:rsidP="006B1E56">
            <w:pPr>
              <w:jc w:val="center"/>
              <w:rPr>
                <w:rFonts w:asciiTheme="majorHAnsi" w:hAnsiTheme="majorHAnsi"/>
                <w:color w:val="333333"/>
              </w:rPr>
            </w:pPr>
            <w:r w:rsidRPr="00EE05AA">
              <w:rPr>
                <w:rFonts w:asciiTheme="majorHAnsi" w:hAnsiTheme="majorHAnsi"/>
                <w:color w:val="333333"/>
              </w:rPr>
              <w:t>12.8</w:t>
            </w:r>
          </w:p>
        </w:tc>
      </w:tr>
      <w:tr w:rsidR="00153816" w:rsidRPr="00EE05AA" w14:paraId="773CC588" w14:textId="77777777" w:rsidTr="006B1E56">
        <w:trPr>
          <w:gridAfter w:val="1"/>
          <w:wAfter w:w="95" w:type="dxa"/>
          <w:tblCellSpacing w:w="15" w:type="dxa"/>
        </w:trPr>
        <w:tc>
          <w:tcPr>
            <w:tcW w:w="11297" w:type="dxa"/>
            <w:gridSpan w:val="14"/>
            <w:tcBorders>
              <w:bottom w:val="single" w:sz="12" w:space="0" w:color="C0C0C0"/>
            </w:tcBorders>
            <w:tcMar>
              <w:top w:w="72" w:type="dxa"/>
              <w:left w:w="15" w:type="dxa"/>
              <w:bottom w:w="72" w:type="dxa"/>
              <w:right w:w="15" w:type="dxa"/>
            </w:tcMar>
            <w:vAlign w:val="center"/>
            <w:hideMark/>
          </w:tcPr>
          <w:p w14:paraId="37DB684B"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w:t>
            </w:r>
          </w:p>
        </w:tc>
      </w:tr>
    </w:tbl>
    <w:p w14:paraId="7172ECC3" w14:textId="77777777" w:rsidR="00153816" w:rsidRPr="00EE05AA" w:rsidRDefault="00153816" w:rsidP="00153816">
      <w:pPr>
        <w:ind w:right="960"/>
        <w:rPr>
          <w:rFonts w:asciiTheme="majorHAnsi" w:hAnsiTheme="majorHAnsi"/>
          <w:color w:val="0000BB"/>
        </w:rPr>
      </w:pPr>
    </w:p>
    <w:p w14:paraId="60F1E681" w14:textId="77777777" w:rsidR="00153816" w:rsidRPr="00D74B76" w:rsidRDefault="00153816" w:rsidP="00153816">
      <w:pPr>
        <w:spacing w:line="360" w:lineRule="auto"/>
        <w:ind w:right="960"/>
        <w:rPr>
          <w:rFonts w:asciiTheme="majorHAnsi" w:hAnsiTheme="majorHAnsi"/>
          <w:color w:val="000000" w:themeColor="text1"/>
        </w:rPr>
      </w:pPr>
      <w:r w:rsidRPr="00D74B76">
        <w:rPr>
          <w:rFonts w:asciiTheme="majorHAnsi" w:hAnsiTheme="majorHAnsi"/>
          <w:color w:val="000000" w:themeColor="text1"/>
        </w:rPr>
        <w:t xml:space="preserve">The tables above illustrate the relatively low levels of employment of men within the local area compared to other areas of the UK and the region. They also provide data to support the understanding that there are slightly higher levels of unemployment and also of self-employment of men locally. In addition, the high proportion of those who are students whilst not economically active is perhaps no surprise given that there are two universities located within the city. The lower level of retired adults is also not surprising given earlier comments regarding the relative youth of the local population. However, the proportion of those looking after family or home is lower than in other areas too. </w:t>
      </w:r>
    </w:p>
    <w:p w14:paraId="3B24D1D5" w14:textId="77777777" w:rsidR="00153816" w:rsidRPr="00D74B76" w:rsidRDefault="00153816" w:rsidP="00153816">
      <w:pPr>
        <w:spacing w:line="360" w:lineRule="auto"/>
        <w:ind w:right="960"/>
        <w:rPr>
          <w:rFonts w:asciiTheme="majorHAnsi" w:hAnsiTheme="majorHAnsi"/>
          <w:color w:val="0000BB"/>
        </w:rPr>
      </w:pPr>
    </w:p>
    <w:p w14:paraId="0E92B299" w14:textId="77777777" w:rsidR="00153816" w:rsidRPr="00D74B76" w:rsidRDefault="00153816" w:rsidP="00153816">
      <w:pPr>
        <w:spacing w:line="360" w:lineRule="auto"/>
        <w:ind w:right="960"/>
        <w:rPr>
          <w:rFonts w:asciiTheme="majorHAnsi" w:hAnsiTheme="majorHAnsi"/>
          <w:color w:val="000000" w:themeColor="text1"/>
        </w:rPr>
      </w:pPr>
      <w:r w:rsidRPr="00D74B76">
        <w:rPr>
          <w:rFonts w:asciiTheme="majorHAnsi" w:hAnsiTheme="majorHAnsi"/>
          <w:color w:val="000000" w:themeColor="text1"/>
        </w:rPr>
        <w:t xml:space="preserve">The tables below summarise the nature of employment in the local area and how this compares to those in the region and the rest of the UK. With larger than average proportions of the population employed in occupational groups 1-5, it is then not surprising that other occupational groups are less well represented. In </w:t>
      </w:r>
    </w:p>
    <w:tbl>
      <w:tblPr>
        <w:tblpPr w:leftFromText="180" w:rightFromText="180" w:vertAnchor="page" w:horzAnchor="margin" w:tblpY="5117"/>
        <w:tblW w:w="10178" w:type="dxa"/>
        <w:tblCellSpacing w:w="15" w:type="dxa"/>
        <w:tblBorders>
          <w:top w:val="single" w:sz="12" w:space="0" w:color="CCCCCC"/>
          <w:bottom w:val="single" w:sz="2" w:space="0" w:color="CCCCCC"/>
        </w:tblBorders>
        <w:tblCellMar>
          <w:top w:w="15" w:type="dxa"/>
          <w:left w:w="15" w:type="dxa"/>
          <w:bottom w:w="15" w:type="dxa"/>
          <w:right w:w="15" w:type="dxa"/>
        </w:tblCellMar>
        <w:tblLook w:val="04A0" w:firstRow="1" w:lastRow="0" w:firstColumn="1" w:lastColumn="0" w:noHBand="0" w:noVBand="1"/>
      </w:tblPr>
      <w:tblGrid>
        <w:gridCol w:w="4750"/>
        <w:gridCol w:w="1643"/>
        <w:gridCol w:w="1534"/>
        <w:gridCol w:w="1394"/>
        <w:gridCol w:w="807"/>
        <w:gridCol w:w="50"/>
      </w:tblGrid>
      <w:tr w:rsidR="00153816" w:rsidRPr="00EE05AA" w14:paraId="4EEC07B5" w14:textId="77777777" w:rsidTr="006B1E56">
        <w:trPr>
          <w:gridAfter w:val="2"/>
          <w:wAfter w:w="814" w:type="dxa"/>
          <w:trHeight w:val="1131"/>
          <w:tblHeader/>
          <w:tblCellSpacing w:w="15" w:type="dxa"/>
        </w:trPr>
        <w:tc>
          <w:tcPr>
            <w:tcW w:w="9274" w:type="dxa"/>
            <w:gridSpan w:val="4"/>
            <w:tcBorders>
              <w:top w:val="nil"/>
              <w:left w:val="nil"/>
              <w:bottom w:val="nil"/>
              <w:right w:val="nil"/>
            </w:tcBorders>
            <w:tcMar>
              <w:top w:w="72" w:type="dxa"/>
              <w:left w:w="30" w:type="dxa"/>
              <w:bottom w:w="72" w:type="dxa"/>
              <w:right w:w="30" w:type="dxa"/>
            </w:tcMar>
            <w:vAlign w:val="center"/>
            <w:hideMark/>
          </w:tcPr>
          <w:p w14:paraId="2CDA3F5F" w14:textId="77777777" w:rsidR="00153816" w:rsidRPr="00EE05AA" w:rsidRDefault="00153816" w:rsidP="006B1E56">
            <w:pPr>
              <w:pStyle w:val="ListParagraph"/>
              <w:numPr>
                <w:ilvl w:val="0"/>
                <w:numId w:val="14"/>
              </w:numPr>
              <w:shd w:val="clear" w:color="auto" w:fill="F3F3F3"/>
              <w:spacing w:before="480" w:after="45"/>
              <w:rPr>
                <w:rFonts w:asciiTheme="majorHAnsi" w:hAnsiTheme="majorHAnsi"/>
                <w:b/>
                <w:bCs/>
                <w:color w:val="545252"/>
              </w:rPr>
            </w:pPr>
            <w:r w:rsidRPr="00EE05AA">
              <w:rPr>
                <w:rFonts w:asciiTheme="majorHAnsi" w:hAnsiTheme="majorHAnsi"/>
                <w:b/>
                <w:bCs/>
                <w:color w:val="545252"/>
              </w:rPr>
              <w:lastRenderedPageBreak/>
              <w:t xml:space="preserve">Nature of employment </w:t>
            </w:r>
          </w:p>
          <w:p w14:paraId="4BBDE44C" w14:textId="77777777" w:rsidR="00153816" w:rsidRPr="00EE05AA" w:rsidRDefault="00153816" w:rsidP="006B1E56">
            <w:pPr>
              <w:shd w:val="clear" w:color="auto" w:fill="F3F3F3"/>
              <w:spacing w:after="45"/>
              <w:rPr>
                <w:rFonts w:asciiTheme="majorHAnsi" w:hAnsiTheme="majorHAnsi"/>
                <w:b/>
                <w:bCs/>
                <w:color w:val="545252"/>
              </w:rPr>
            </w:pPr>
            <w:r w:rsidRPr="00EE05AA">
              <w:rPr>
                <w:rFonts w:asciiTheme="majorHAnsi" w:hAnsiTheme="majorHAnsi"/>
                <w:b/>
                <w:bCs/>
                <w:color w:val="545252"/>
              </w:rPr>
              <w:t>Employment by occupation (Jul 2019-Jun 2020)</w:t>
            </w:r>
          </w:p>
        </w:tc>
      </w:tr>
      <w:tr w:rsidR="00153816" w:rsidRPr="00EE05AA" w14:paraId="63439865" w14:textId="77777777" w:rsidTr="006B1E56">
        <w:trPr>
          <w:gridAfter w:val="1"/>
          <w:wAfter w:w="5" w:type="dxa"/>
          <w:trHeight w:val="984"/>
          <w:tblHeader/>
          <w:tblCellSpacing w:w="15" w:type="dxa"/>
        </w:trPr>
        <w:tc>
          <w:tcPr>
            <w:tcW w:w="4521" w:type="dxa"/>
            <w:tcBorders>
              <w:bottom w:val="dotted" w:sz="6" w:space="0" w:color="E9E6E6"/>
            </w:tcBorders>
            <w:tcMar>
              <w:top w:w="72" w:type="dxa"/>
              <w:left w:w="30" w:type="dxa"/>
              <w:bottom w:w="72" w:type="dxa"/>
              <w:right w:w="30" w:type="dxa"/>
            </w:tcMar>
            <w:hideMark/>
          </w:tcPr>
          <w:p w14:paraId="4FF08B43"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 </w:t>
            </w:r>
          </w:p>
        </w:tc>
        <w:tc>
          <w:tcPr>
            <w:tcW w:w="1662" w:type="dxa"/>
            <w:tcBorders>
              <w:bottom w:val="dotted" w:sz="6" w:space="0" w:color="E9E6E6"/>
            </w:tcBorders>
            <w:tcMar>
              <w:top w:w="72" w:type="dxa"/>
              <w:left w:w="30" w:type="dxa"/>
              <w:bottom w:w="72" w:type="dxa"/>
              <w:right w:w="30" w:type="dxa"/>
            </w:tcMar>
            <w:hideMark/>
          </w:tcPr>
          <w:p w14:paraId="5A1B6161"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(Numbers)</w:t>
            </w:r>
          </w:p>
        </w:tc>
        <w:tc>
          <w:tcPr>
            <w:tcW w:w="1563" w:type="dxa"/>
            <w:tcBorders>
              <w:bottom w:val="dotted" w:sz="6" w:space="0" w:color="E9E6E6"/>
            </w:tcBorders>
            <w:tcMar>
              <w:top w:w="72" w:type="dxa"/>
              <w:left w:w="30" w:type="dxa"/>
              <w:bottom w:w="72" w:type="dxa"/>
              <w:right w:w="30" w:type="dxa"/>
            </w:tcMar>
            <w:hideMark/>
          </w:tcPr>
          <w:p w14:paraId="6773B07C"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w:t>
            </w:r>
          </w:p>
        </w:tc>
        <w:tc>
          <w:tcPr>
            <w:tcW w:w="1438" w:type="dxa"/>
            <w:tcBorders>
              <w:bottom w:val="dotted" w:sz="6" w:space="0" w:color="E9E6E6"/>
            </w:tcBorders>
            <w:tcMar>
              <w:top w:w="72" w:type="dxa"/>
              <w:left w:w="30" w:type="dxa"/>
              <w:bottom w:w="72" w:type="dxa"/>
              <w:right w:w="30" w:type="dxa"/>
            </w:tcMar>
            <w:hideMark/>
          </w:tcPr>
          <w:p w14:paraId="5C46749D"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South East</w:t>
            </w:r>
            <w:r w:rsidRPr="00EE05AA">
              <w:rPr>
                <w:rFonts w:asciiTheme="majorHAnsi" w:hAnsiTheme="majorHAnsi"/>
                <w:b/>
                <w:bCs/>
                <w:color w:val="333333"/>
              </w:rPr>
              <w:br/>
              <w:t>(%)</w:t>
            </w:r>
          </w:p>
        </w:tc>
        <w:tc>
          <w:tcPr>
            <w:tcW w:w="779" w:type="dxa"/>
            <w:tcBorders>
              <w:bottom w:val="dotted" w:sz="6" w:space="0" w:color="E9E6E6"/>
            </w:tcBorders>
            <w:tcMar>
              <w:top w:w="72" w:type="dxa"/>
              <w:left w:w="30" w:type="dxa"/>
              <w:bottom w:w="72" w:type="dxa"/>
              <w:right w:w="30" w:type="dxa"/>
            </w:tcMar>
            <w:hideMark/>
          </w:tcPr>
          <w:p w14:paraId="15F496A3"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Great Britain</w:t>
            </w:r>
            <w:r w:rsidRPr="00EE05AA">
              <w:rPr>
                <w:rFonts w:asciiTheme="majorHAnsi" w:hAnsiTheme="majorHAnsi"/>
                <w:b/>
                <w:bCs/>
                <w:color w:val="333333"/>
              </w:rPr>
              <w:br/>
              <w:t>(%)</w:t>
            </w:r>
          </w:p>
        </w:tc>
      </w:tr>
      <w:tr w:rsidR="00153816" w:rsidRPr="00EE05AA" w14:paraId="69834AB4" w14:textId="77777777" w:rsidTr="006B1E56">
        <w:trPr>
          <w:trHeight w:val="270"/>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333A48D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Soc 2010 Major Group 1-3</w:t>
            </w:r>
          </w:p>
        </w:tc>
        <w:tc>
          <w:tcPr>
            <w:tcW w:w="0" w:type="auto"/>
            <w:tcBorders>
              <w:bottom w:val="dotted" w:sz="6" w:space="0" w:color="E9E6E6"/>
            </w:tcBorders>
            <w:tcMar>
              <w:top w:w="45" w:type="dxa"/>
              <w:left w:w="45" w:type="dxa"/>
              <w:bottom w:w="45" w:type="dxa"/>
              <w:right w:w="45" w:type="dxa"/>
            </w:tcMar>
            <w:vAlign w:val="center"/>
            <w:hideMark/>
          </w:tcPr>
          <w:p w14:paraId="5E09140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97,900</w:t>
            </w:r>
          </w:p>
        </w:tc>
        <w:tc>
          <w:tcPr>
            <w:tcW w:w="0" w:type="auto"/>
            <w:tcBorders>
              <w:bottom w:val="dotted" w:sz="6" w:space="0" w:color="E9E6E6"/>
            </w:tcBorders>
            <w:tcMar>
              <w:top w:w="45" w:type="dxa"/>
              <w:left w:w="45" w:type="dxa"/>
              <w:bottom w:w="45" w:type="dxa"/>
              <w:right w:w="45" w:type="dxa"/>
            </w:tcMar>
            <w:vAlign w:val="center"/>
            <w:hideMark/>
          </w:tcPr>
          <w:p w14:paraId="1D524C0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60.0</w:t>
            </w:r>
          </w:p>
        </w:tc>
        <w:tc>
          <w:tcPr>
            <w:tcW w:w="0" w:type="auto"/>
            <w:tcBorders>
              <w:bottom w:val="dotted" w:sz="6" w:space="0" w:color="E9E6E6"/>
            </w:tcBorders>
            <w:tcMar>
              <w:top w:w="45" w:type="dxa"/>
              <w:left w:w="45" w:type="dxa"/>
              <w:bottom w:w="45" w:type="dxa"/>
              <w:right w:w="45" w:type="dxa"/>
            </w:tcMar>
            <w:vAlign w:val="center"/>
            <w:hideMark/>
          </w:tcPr>
          <w:p w14:paraId="793B6934"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53.4</w:t>
            </w:r>
          </w:p>
        </w:tc>
        <w:tc>
          <w:tcPr>
            <w:tcW w:w="814" w:type="dxa"/>
            <w:gridSpan w:val="2"/>
            <w:tcBorders>
              <w:bottom w:val="dotted" w:sz="6" w:space="0" w:color="E9E6E6"/>
            </w:tcBorders>
            <w:tcMar>
              <w:top w:w="45" w:type="dxa"/>
              <w:left w:w="45" w:type="dxa"/>
              <w:bottom w:w="45" w:type="dxa"/>
              <w:right w:w="45" w:type="dxa"/>
            </w:tcMar>
            <w:vAlign w:val="center"/>
            <w:hideMark/>
          </w:tcPr>
          <w:p w14:paraId="773FE6B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48.6</w:t>
            </w:r>
          </w:p>
        </w:tc>
      </w:tr>
      <w:tr w:rsidR="00153816" w:rsidRPr="00EE05AA" w14:paraId="5FC73B9B"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6CD5D333"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xml:space="preserve">1 Managers, Directors </w:t>
            </w:r>
            <w:proofErr w:type="gramStart"/>
            <w:r w:rsidRPr="00EE05AA">
              <w:rPr>
                <w:rFonts w:asciiTheme="majorHAnsi" w:hAnsiTheme="majorHAnsi"/>
                <w:color w:val="333333"/>
              </w:rPr>
              <w:t>And</w:t>
            </w:r>
            <w:proofErr w:type="gramEnd"/>
            <w:r w:rsidRPr="00EE05AA">
              <w:rPr>
                <w:rFonts w:asciiTheme="majorHAnsi" w:hAnsiTheme="majorHAnsi"/>
                <w:color w:val="333333"/>
              </w:rPr>
              <w:t xml:space="preserve"> Senior Officials</w:t>
            </w:r>
          </w:p>
        </w:tc>
        <w:tc>
          <w:tcPr>
            <w:tcW w:w="0" w:type="auto"/>
            <w:tcBorders>
              <w:bottom w:val="dotted" w:sz="6" w:space="0" w:color="E9E6E6"/>
            </w:tcBorders>
            <w:tcMar>
              <w:top w:w="45" w:type="dxa"/>
              <w:left w:w="45" w:type="dxa"/>
              <w:bottom w:w="45" w:type="dxa"/>
              <w:right w:w="45" w:type="dxa"/>
            </w:tcMar>
            <w:vAlign w:val="center"/>
            <w:hideMark/>
          </w:tcPr>
          <w:p w14:paraId="6214366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21,900</w:t>
            </w:r>
          </w:p>
        </w:tc>
        <w:tc>
          <w:tcPr>
            <w:tcW w:w="0" w:type="auto"/>
            <w:tcBorders>
              <w:bottom w:val="dotted" w:sz="6" w:space="0" w:color="E9E6E6"/>
            </w:tcBorders>
            <w:tcMar>
              <w:top w:w="45" w:type="dxa"/>
              <w:left w:w="45" w:type="dxa"/>
              <w:bottom w:w="45" w:type="dxa"/>
              <w:right w:w="45" w:type="dxa"/>
            </w:tcMar>
            <w:vAlign w:val="center"/>
            <w:hideMark/>
          </w:tcPr>
          <w:p w14:paraId="3C76DB9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13.4</w:t>
            </w:r>
          </w:p>
        </w:tc>
        <w:tc>
          <w:tcPr>
            <w:tcW w:w="0" w:type="auto"/>
            <w:tcBorders>
              <w:bottom w:val="dotted" w:sz="6" w:space="0" w:color="E9E6E6"/>
            </w:tcBorders>
            <w:tcMar>
              <w:top w:w="45" w:type="dxa"/>
              <w:left w:w="45" w:type="dxa"/>
              <w:bottom w:w="45" w:type="dxa"/>
              <w:right w:w="45" w:type="dxa"/>
            </w:tcMar>
            <w:vAlign w:val="center"/>
            <w:hideMark/>
          </w:tcPr>
          <w:p w14:paraId="36D3EE9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13.3</w:t>
            </w:r>
          </w:p>
        </w:tc>
        <w:tc>
          <w:tcPr>
            <w:tcW w:w="814" w:type="dxa"/>
            <w:gridSpan w:val="2"/>
            <w:tcBorders>
              <w:bottom w:val="dotted" w:sz="6" w:space="0" w:color="E9E6E6"/>
            </w:tcBorders>
            <w:tcMar>
              <w:top w:w="45" w:type="dxa"/>
              <w:left w:w="45" w:type="dxa"/>
              <w:bottom w:w="45" w:type="dxa"/>
              <w:right w:w="45" w:type="dxa"/>
            </w:tcMar>
            <w:vAlign w:val="center"/>
            <w:hideMark/>
          </w:tcPr>
          <w:p w14:paraId="7B75583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11.6</w:t>
            </w:r>
          </w:p>
        </w:tc>
      </w:tr>
      <w:tr w:rsidR="00153816" w:rsidRPr="00EE05AA" w14:paraId="2906FE25"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7946978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2 Professional Occupations</w:t>
            </w:r>
          </w:p>
        </w:tc>
        <w:tc>
          <w:tcPr>
            <w:tcW w:w="0" w:type="auto"/>
            <w:tcBorders>
              <w:bottom w:val="dotted" w:sz="6" w:space="0" w:color="E9E6E6"/>
            </w:tcBorders>
            <w:tcMar>
              <w:top w:w="45" w:type="dxa"/>
              <w:left w:w="45" w:type="dxa"/>
              <w:bottom w:w="45" w:type="dxa"/>
              <w:right w:w="45" w:type="dxa"/>
            </w:tcMar>
            <w:vAlign w:val="center"/>
            <w:hideMark/>
          </w:tcPr>
          <w:p w14:paraId="242FF74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48,400</w:t>
            </w:r>
          </w:p>
        </w:tc>
        <w:tc>
          <w:tcPr>
            <w:tcW w:w="0" w:type="auto"/>
            <w:tcBorders>
              <w:bottom w:val="dotted" w:sz="6" w:space="0" w:color="E9E6E6"/>
            </w:tcBorders>
            <w:tcMar>
              <w:top w:w="45" w:type="dxa"/>
              <w:left w:w="45" w:type="dxa"/>
              <w:bottom w:w="45" w:type="dxa"/>
              <w:right w:w="45" w:type="dxa"/>
            </w:tcMar>
            <w:vAlign w:val="center"/>
            <w:hideMark/>
          </w:tcPr>
          <w:p w14:paraId="5F2F161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29.6</w:t>
            </w:r>
          </w:p>
        </w:tc>
        <w:tc>
          <w:tcPr>
            <w:tcW w:w="0" w:type="auto"/>
            <w:tcBorders>
              <w:bottom w:val="dotted" w:sz="6" w:space="0" w:color="E9E6E6"/>
            </w:tcBorders>
            <w:tcMar>
              <w:top w:w="45" w:type="dxa"/>
              <w:left w:w="45" w:type="dxa"/>
              <w:bottom w:w="45" w:type="dxa"/>
              <w:right w:w="45" w:type="dxa"/>
            </w:tcMar>
            <w:vAlign w:val="center"/>
            <w:hideMark/>
          </w:tcPr>
          <w:p w14:paraId="2C70723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23.5</w:t>
            </w:r>
          </w:p>
        </w:tc>
        <w:tc>
          <w:tcPr>
            <w:tcW w:w="814" w:type="dxa"/>
            <w:gridSpan w:val="2"/>
            <w:tcBorders>
              <w:bottom w:val="dotted" w:sz="6" w:space="0" w:color="E9E6E6"/>
            </w:tcBorders>
            <w:tcMar>
              <w:top w:w="45" w:type="dxa"/>
              <w:left w:w="45" w:type="dxa"/>
              <w:bottom w:w="45" w:type="dxa"/>
              <w:right w:w="45" w:type="dxa"/>
            </w:tcMar>
            <w:vAlign w:val="center"/>
            <w:hideMark/>
          </w:tcPr>
          <w:p w14:paraId="70DB52D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21.9</w:t>
            </w:r>
          </w:p>
        </w:tc>
      </w:tr>
      <w:tr w:rsidR="00153816" w:rsidRPr="00EE05AA" w14:paraId="21C33918"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0C508FB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3 Associate Professional &amp; Technical</w:t>
            </w:r>
          </w:p>
        </w:tc>
        <w:tc>
          <w:tcPr>
            <w:tcW w:w="0" w:type="auto"/>
            <w:tcBorders>
              <w:bottom w:val="dotted" w:sz="6" w:space="0" w:color="E9E6E6"/>
            </w:tcBorders>
            <w:tcMar>
              <w:top w:w="45" w:type="dxa"/>
              <w:left w:w="45" w:type="dxa"/>
              <w:bottom w:w="45" w:type="dxa"/>
              <w:right w:w="45" w:type="dxa"/>
            </w:tcMar>
            <w:vAlign w:val="center"/>
            <w:hideMark/>
          </w:tcPr>
          <w:p w14:paraId="09A5EA6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27,600</w:t>
            </w:r>
          </w:p>
        </w:tc>
        <w:tc>
          <w:tcPr>
            <w:tcW w:w="0" w:type="auto"/>
            <w:tcBorders>
              <w:bottom w:val="dotted" w:sz="6" w:space="0" w:color="E9E6E6"/>
            </w:tcBorders>
            <w:tcMar>
              <w:top w:w="45" w:type="dxa"/>
              <w:left w:w="45" w:type="dxa"/>
              <w:bottom w:w="45" w:type="dxa"/>
              <w:right w:w="45" w:type="dxa"/>
            </w:tcMar>
            <w:vAlign w:val="center"/>
            <w:hideMark/>
          </w:tcPr>
          <w:p w14:paraId="3D1EF8A4"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16.9</w:t>
            </w:r>
          </w:p>
        </w:tc>
        <w:tc>
          <w:tcPr>
            <w:tcW w:w="0" w:type="auto"/>
            <w:tcBorders>
              <w:bottom w:val="dotted" w:sz="6" w:space="0" w:color="E9E6E6"/>
            </w:tcBorders>
            <w:tcMar>
              <w:top w:w="45" w:type="dxa"/>
              <w:left w:w="45" w:type="dxa"/>
              <w:bottom w:w="45" w:type="dxa"/>
              <w:right w:w="45" w:type="dxa"/>
            </w:tcMar>
            <w:vAlign w:val="center"/>
            <w:hideMark/>
          </w:tcPr>
          <w:p w14:paraId="6835896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16.4</w:t>
            </w:r>
          </w:p>
        </w:tc>
        <w:tc>
          <w:tcPr>
            <w:tcW w:w="814" w:type="dxa"/>
            <w:gridSpan w:val="2"/>
            <w:tcBorders>
              <w:bottom w:val="dotted" w:sz="6" w:space="0" w:color="E9E6E6"/>
            </w:tcBorders>
            <w:tcMar>
              <w:top w:w="45" w:type="dxa"/>
              <w:left w:w="45" w:type="dxa"/>
              <w:bottom w:w="45" w:type="dxa"/>
              <w:right w:w="45" w:type="dxa"/>
            </w:tcMar>
            <w:vAlign w:val="center"/>
            <w:hideMark/>
          </w:tcPr>
          <w:p w14:paraId="68E484B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14.9</w:t>
            </w:r>
          </w:p>
        </w:tc>
      </w:tr>
      <w:tr w:rsidR="00153816" w:rsidRPr="00EE05AA" w14:paraId="02BA47BF" w14:textId="77777777" w:rsidTr="006B1E56">
        <w:trPr>
          <w:trHeight w:val="246"/>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5972096F"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Soc 2010 Major Group 4-5</w:t>
            </w:r>
          </w:p>
        </w:tc>
        <w:tc>
          <w:tcPr>
            <w:tcW w:w="0" w:type="auto"/>
            <w:tcBorders>
              <w:bottom w:val="dotted" w:sz="6" w:space="0" w:color="E9E6E6"/>
            </w:tcBorders>
            <w:tcMar>
              <w:top w:w="45" w:type="dxa"/>
              <w:left w:w="45" w:type="dxa"/>
              <w:bottom w:w="45" w:type="dxa"/>
              <w:right w:w="45" w:type="dxa"/>
            </w:tcMar>
            <w:vAlign w:val="center"/>
            <w:hideMark/>
          </w:tcPr>
          <w:p w14:paraId="06E0DE9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22,500</w:t>
            </w:r>
          </w:p>
        </w:tc>
        <w:tc>
          <w:tcPr>
            <w:tcW w:w="0" w:type="auto"/>
            <w:tcBorders>
              <w:bottom w:val="dotted" w:sz="6" w:space="0" w:color="E9E6E6"/>
            </w:tcBorders>
            <w:tcMar>
              <w:top w:w="45" w:type="dxa"/>
              <w:left w:w="45" w:type="dxa"/>
              <w:bottom w:w="45" w:type="dxa"/>
              <w:right w:w="45" w:type="dxa"/>
            </w:tcMar>
            <w:vAlign w:val="center"/>
            <w:hideMark/>
          </w:tcPr>
          <w:p w14:paraId="7BC8E71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13.8</w:t>
            </w:r>
          </w:p>
        </w:tc>
        <w:tc>
          <w:tcPr>
            <w:tcW w:w="0" w:type="auto"/>
            <w:tcBorders>
              <w:bottom w:val="dotted" w:sz="6" w:space="0" w:color="E9E6E6"/>
            </w:tcBorders>
            <w:tcMar>
              <w:top w:w="45" w:type="dxa"/>
              <w:left w:w="45" w:type="dxa"/>
              <w:bottom w:w="45" w:type="dxa"/>
              <w:right w:w="45" w:type="dxa"/>
            </w:tcMar>
            <w:vAlign w:val="center"/>
            <w:hideMark/>
          </w:tcPr>
          <w:p w14:paraId="6556C7E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18.7</w:t>
            </w:r>
          </w:p>
        </w:tc>
        <w:tc>
          <w:tcPr>
            <w:tcW w:w="814" w:type="dxa"/>
            <w:gridSpan w:val="2"/>
            <w:tcBorders>
              <w:bottom w:val="dotted" w:sz="6" w:space="0" w:color="E9E6E6"/>
            </w:tcBorders>
            <w:tcMar>
              <w:top w:w="45" w:type="dxa"/>
              <w:left w:w="45" w:type="dxa"/>
              <w:bottom w:w="45" w:type="dxa"/>
              <w:right w:w="45" w:type="dxa"/>
            </w:tcMar>
            <w:vAlign w:val="center"/>
            <w:hideMark/>
          </w:tcPr>
          <w:p w14:paraId="4D3EF14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19.5</w:t>
            </w:r>
          </w:p>
        </w:tc>
      </w:tr>
      <w:tr w:rsidR="00153816" w:rsidRPr="00EE05AA" w14:paraId="75948E92"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3F5F2AE6"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4 Administrative &amp; Secretarial</w:t>
            </w:r>
          </w:p>
        </w:tc>
        <w:tc>
          <w:tcPr>
            <w:tcW w:w="0" w:type="auto"/>
            <w:tcBorders>
              <w:bottom w:val="dotted" w:sz="6" w:space="0" w:color="E9E6E6"/>
            </w:tcBorders>
            <w:tcMar>
              <w:top w:w="45" w:type="dxa"/>
              <w:left w:w="45" w:type="dxa"/>
              <w:bottom w:w="45" w:type="dxa"/>
              <w:right w:w="45" w:type="dxa"/>
            </w:tcMar>
            <w:vAlign w:val="center"/>
            <w:hideMark/>
          </w:tcPr>
          <w:p w14:paraId="40FDA27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11,400</w:t>
            </w:r>
          </w:p>
        </w:tc>
        <w:tc>
          <w:tcPr>
            <w:tcW w:w="0" w:type="auto"/>
            <w:tcBorders>
              <w:bottom w:val="dotted" w:sz="6" w:space="0" w:color="E9E6E6"/>
            </w:tcBorders>
            <w:tcMar>
              <w:top w:w="45" w:type="dxa"/>
              <w:left w:w="45" w:type="dxa"/>
              <w:bottom w:w="45" w:type="dxa"/>
              <w:right w:w="45" w:type="dxa"/>
            </w:tcMar>
            <w:vAlign w:val="center"/>
            <w:hideMark/>
          </w:tcPr>
          <w:p w14:paraId="5D4E385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7.0</w:t>
            </w:r>
          </w:p>
        </w:tc>
        <w:tc>
          <w:tcPr>
            <w:tcW w:w="0" w:type="auto"/>
            <w:tcBorders>
              <w:bottom w:val="dotted" w:sz="6" w:space="0" w:color="E9E6E6"/>
            </w:tcBorders>
            <w:tcMar>
              <w:top w:w="45" w:type="dxa"/>
              <w:left w:w="45" w:type="dxa"/>
              <w:bottom w:w="45" w:type="dxa"/>
              <w:right w:w="45" w:type="dxa"/>
            </w:tcMar>
            <w:vAlign w:val="center"/>
            <w:hideMark/>
          </w:tcPr>
          <w:p w14:paraId="1CD5747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9.9</w:t>
            </w:r>
          </w:p>
        </w:tc>
        <w:tc>
          <w:tcPr>
            <w:tcW w:w="814" w:type="dxa"/>
            <w:gridSpan w:val="2"/>
            <w:tcBorders>
              <w:bottom w:val="dotted" w:sz="6" w:space="0" w:color="E9E6E6"/>
            </w:tcBorders>
            <w:tcMar>
              <w:top w:w="45" w:type="dxa"/>
              <w:left w:w="45" w:type="dxa"/>
              <w:bottom w:w="45" w:type="dxa"/>
              <w:right w:w="45" w:type="dxa"/>
            </w:tcMar>
            <w:vAlign w:val="center"/>
            <w:hideMark/>
          </w:tcPr>
          <w:p w14:paraId="43E2F9C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9.7</w:t>
            </w:r>
          </w:p>
        </w:tc>
      </w:tr>
      <w:tr w:rsidR="00153816" w:rsidRPr="00EE05AA" w14:paraId="43AE6530"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5F2E63FC"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5 Skilled Trades Occupations</w:t>
            </w:r>
          </w:p>
        </w:tc>
        <w:tc>
          <w:tcPr>
            <w:tcW w:w="0" w:type="auto"/>
            <w:tcBorders>
              <w:bottom w:val="dotted" w:sz="6" w:space="0" w:color="E9E6E6"/>
            </w:tcBorders>
            <w:tcMar>
              <w:top w:w="45" w:type="dxa"/>
              <w:left w:w="45" w:type="dxa"/>
              <w:bottom w:w="45" w:type="dxa"/>
              <w:right w:w="45" w:type="dxa"/>
            </w:tcMar>
            <w:vAlign w:val="center"/>
            <w:hideMark/>
          </w:tcPr>
          <w:p w14:paraId="11BE9896"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11,100</w:t>
            </w:r>
          </w:p>
        </w:tc>
        <w:tc>
          <w:tcPr>
            <w:tcW w:w="0" w:type="auto"/>
            <w:tcBorders>
              <w:bottom w:val="dotted" w:sz="6" w:space="0" w:color="E9E6E6"/>
            </w:tcBorders>
            <w:tcMar>
              <w:top w:w="45" w:type="dxa"/>
              <w:left w:w="45" w:type="dxa"/>
              <w:bottom w:w="45" w:type="dxa"/>
              <w:right w:w="45" w:type="dxa"/>
            </w:tcMar>
            <w:vAlign w:val="center"/>
            <w:hideMark/>
          </w:tcPr>
          <w:p w14:paraId="57F0646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6.8</w:t>
            </w:r>
          </w:p>
        </w:tc>
        <w:tc>
          <w:tcPr>
            <w:tcW w:w="0" w:type="auto"/>
            <w:tcBorders>
              <w:bottom w:val="dotted" w:sz="6" w:space="0" w:color="E9E6E6"/>
            </w:tcBorders>
            <w:tcMar>
              <w:top w:w="45" w:type="dxa"/>
              <w:left w:w="45" w:type="dxa"/>
              <w:bottom w:w="45" w:type="dxa"/>
              <w:right w:w="45" w:type="dxa"/>
            </w:tcMar>
            <w:vAlign w:val="center"/>
            <w:hideMark/>
          </w:tcPr>
          <w:p w14:paraId="3C484F7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8.7</w:t>
            </w:r>
          </w:p>
        </w:tc>
        <w:tc>
          <w:tcPr>
            <w:tcW w:w="814" w:type="dxa"/>
            <w:gridSpan w:val="2"/>
            <w:tcBorders>
              <w:bottom w:val="dotted" w:sz="6" w:space="0" w:color="E9E6E6"/>
            </w:tcBorders>
            <w:tcMar>
              <w:top w:w="45" w:type="dxa"/>
              <w:left w:w="45" w:type="dxa"/>
              <w:bottom w:w="45" w:type="dxa"/>
              <w:right w:w="45" w:type="dxa"/>
            </w:tcMar>
            <w:vAlign w:val="center"/>
            <w:hideMark/>
          </w:tcPr>
          <w:p w14:paraId="3D1E04E4"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9.7</w:t>
            </w:r>
          </w:p>
        </w:tc>
      </w:tr>
      <w:tr w:rsidR="00153816" w:rsidRPr="00EE05AA" w14:paraId="7DAB98C8" w14:textId="77777777" w:rsidTr="006B1E56">
        <w:trPr>
          <w:trHeight w:val="246"/>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146CAB6C"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Soc 2010 Major Group 6-7</w:t>
            </w:r>
          </w:p>
        </w:tc>
        <w:tc>
          <w:tcPr>
            <w:tcW w:w="0" w:type="auto"/>
            <w:tcBorders>
              <w:bottom w:val="dotted" w:sz="6" w:space="0" w:color="E9E6E6"/>
            </w:tcBorders>
            <w:tcMar>
              <w:top w:w="45" w:type="dxa"/>
              <w:left w:w="45" w:type="dxa"/>
              <w:bottom w:w="45" w:type="dxa"/>
              <w:right w:w="45" w:type="dxa"/>
            </w:tcMar>
            <w:vAlign w:val="center"/>
            <w:hideMark/>
          </w:tcPr>
          <w:p w14:paraId="27F8FE9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25,100</w:t>
            </w:r>
          </w:p>
        </w:tc>
        <w:tc>
          <w:tcPr>
            <w:tcW w:w="0" w:type="auto"/>
            <w:tcBorders>
              <w:bottom w:val="dotted" w:sz="6" w:space="0" w:color="E9E6E6"/>
            </w:tcBorders>
            <w:tcMar>
              <w:top w:w="45" w:type="dxa"/>
              <w:left w:w="45" w:type="dxa"/>
              <w:bottom w:w="45" w:type="dxa"/>
              <w:right w:w="45" w:type="dxa"/>
            </w:tcMar>
            <w:vAlign w:val="center"/>
            <w:hideMark/>
          </w:tcPr>
          <w:p w14:paraId="164ABA3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15.4</w:t>
            </w:r>
          </w:p>
        </w:tc>
        <w:tc>
          <w:tcPr>
            <w:tcW w:w="0" w:type="auto"/>
            <w:tcBorders>
              <w:bottom w:val="dotted" w:sz="6" w:space="0" w:color="E9E6E6"/>
            </w:tcBorders>
            <w:tcMar>
              <w:top w:w="45" w:type="dxa"/>
              <w:left w:w="45" w:type="dxa"/>
              <w:bottom w:w="45" w:type="dxa"/>
              <w:right w:w="45" w:type="dxa"/>
            </w:tcMar>
            <w:vAlign w:val="center"/>
            <w:hideMark/>
          </w:tcPr>
          <w:p w14:paraId="4BD6E35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15.3</w:t>
            </w:r>
          </w:p>
        </w:tc>
        <w:tc>
          <w:tcPr>
            <w:tcW w:w="814" w:type="dxa"/>
            <w:gridSpan w:val="2"/>
            <w:tcBorders>
              <w:bottom w:val="dotted" w:sz="6" w:space="0" w:color="E9E6E6"/>
            </w:tcBorders>
            <w:tcMar>
              <w:top w:w="45" w:type="dxa"/>
              <w:left w:w="45" w:type="dxa"/>
              <w:bottom w:w="45" w:type="dxa"/>
              <w:right w:w="45" w:type="dxa"/>
            </w:tcMar>
            <w:vAlign w:val="center"/>
            <w:hideMark/>
          </w:tcPr>
          <w:p w14:paraId="0DDD4BA4"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16.1</w:t>
            </w:r>
          </w:p>
        </w:tc>
      </w:tr>
      <w:tr w:rsidR="00153816" w:rsidRPr="00EE05AA" w14:paraId="4E08263A" w14:textId="77777777" w:rsidTr="006B1E56">
        <w:trPr>
          <w:trHeight w:val="491"/>
          <w:tblCellSpacing w:w="15" w:type="dxa"/>
        </w:trPr>
        <w:tc>
          <w:tcPr>
            <w:tcW w:w="0" w:type="auto"/>
            <w:tcBorders>
              <w:bottom w:val="dotted" w:sz="6" w:space="0" w:color="E9E6E6"/>
            </w:tcBorders>
            <w:tcMar>
              <w:top w:w="72" w:type="dxa"/>
              <w:left w:w="240" w:type="dxa"/>
              <w:bottom w:w="72" w:type="dxa"/>
              <w:right w:w="0" w:type="dxa"/>
            </w:tcMar>
            <w:vAlign w:val="center"/>
            <w:hideMark/>
          </w:tcPr>
          <w:p w14:paraId="3B11386D"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xml:space="preserve">6 Caring, Leisure </w:t>
            </w:r>
            <w:proofErr w:type="gramStart"/>
            <w:r w:rsidRPr="00EE05AA">
              <w:rPr>
                <w:rFonts w:asciiTheme="majorHAnsi" w:hAnsiTheme="majorHAnsi"/>
                <w:color w:val="333333"/>
              </w:rPr>
              <w:t>And</w:t>
            </w:r>
            <w:proofErr w:type="gramEnd"/>
            <w:r w:rsidRPr="00EE05AA">
              <w:rPr>
                <w:rFonts w:asciiTheme="majorHAnsi" w:hAnsiTheme="majorHAnsi"/>
                <w:color w:val="333333"/>
              </w:rPr>
              <w:t xml:space="preserve"> Other Service Occupations</w:t>
            </w:r>
          </w:p>
        </w:tc>
        <w:tc>
          <w:tcPr>
            <w:tcW w:w="0" w:type="auto"/>
            <w:tcBorders>
              <w:bottom w:val="dotted" w:sz="6" w:space="0" w:color="E9E6E6"/>
            </w:tcBorders>
            <w:tcMar>
              <w:top w:w="45" w:type="dxa"/>
              <w:left w:w="45" w:type="dxa"/>
              <w:bottom w:w="45" w:type="dxa"/>
              <w:right w:w="45" w:type="dxa"/>
            </w:tcMar>
            <w:vAlign w:val="center"/>
            <w:hideMark/>
          </w:tcPr>
          <w:p w14:paraId="1EAE8C8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12,600</w:t>
            </w:r>
          </w:p>
        </w:tc>
        <w:tc>
          <w:tcPr>
            <w:tcW w:w="0" w:type="auto"/>
            <w:tcBorders>
              <w:bottom w:val="dotted" w:sz="6" w:space="0" w:color="E9E6E6"/>
            </w:tcBorders>
            <w:tcMar>
              <w:top w:w="45" w:type="dxa"/>
              <w:left w:w="45" w:type="dxa"/>
              <w:bottom w:w="45" w:type="dxa"/>
              <w:right w:w="45" w:type="dxa"/>
            </w:tcMar>
            <w:vAlign w:val="center"/>
            <w:hideMark/>
          </w:tcPr>
          <w:p w14:paraId="29521C91"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7.7</w:t>
            </w:r>
          </w:p>
        </w:tc>
        <w:tc>
          <w:tcPr>
            <w:tcW w:w="0" w:type="auto"/>
            <w:tcBorders>
              <w:bottom w:val="dotted" w:sz="6" w:space="0" w:color="E9E6E6"/>
            </w:tcBorders>
            <w:tcMar>
              <w:top w:w="45" w:type="dxa"/>
              <w:left w:w="45" w:type="dxa"/>
              <w:bottom w:w="45" w:type="dxa"/>
              <w:right w:w="45" w:type="dxa"/>
            </w:tcMar>
            <w:vAlign w:val="center"/>
            <w:hideMark/>
          </w:tcPr>
          <w:p w14:paraId="4E1EB46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8.8</w:t>
            </w:r>
          </w:p>
        </w:tc>
        <w:tc>
          <w:tcPr>
            <w:tcW w:w="814" w:type="dxa"/>
            <w:gridSpan w:val="2"/>
            <w:tcBorders>
              <w:bottom w:val="dotted" w:sz="6" w:space="0" w:color="E9E6E6"/>
            </w:tcBorders>
            <w:tcMar>
              <w:top w:w="45" w:type="dxa"/>
              <w:left w:w="45" w:type="dxa"/>
              <w:bottom w:w="45" w:type="dxa"/>
              <w:right w:w="45" w:type="dxa"/>
            </w:tcMar>
            <w:vAlign w:val="center"/>
            <w:hideMark/>
          </w:tcPr>
          <w:p w14:paraId="0AFAAE94"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9.1</w:t>
            </w:r>
          </w:p>
        </w:tc>
      </w:tr>
      <w:tr w:rsidR="00153816" w:rsidRPr="00EE05AA" w14:paraId="00EBCC32"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29AF5D55"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xml:space="preserve">7 Sales </w:t>
            </w:r>
            <w:proofErr w:type="gramStart"/>
            <w:r w:rsidRPr="00EE05AA">
              <w:rPr>
                <w:rFonts w:asciiTheme="majorHAnsi" w:hAnsiTheme="majorHAnsi"/>
                <w:color w:val="333333"/>
              </w:rPr>
              <w:t>And</w:t>
            </w:r>
            <w:proofErr w:type="gramEnd"/>
            <w:r w:rsidRPr="00EE05AA">
              <w:rPr>
                <w:rFonts w:asciiTheme="majorHAnsi" w:hAnsiTheme="majorHAnsi"/>
                <w:color w:val="333333"/>
              </w:rPr>
              <w:t xml:space="preserve"> Customer Service Occs</w:t>
            </w:r>
          </w:p>
        </w:tc>
        <w:tc>
          <w:tcPr>
            <w:tcW w:w="0" w:type="auto"/>
            <w:tcBorders>
              <w:bottom w:val="dotted" w:sz="6" w:space="0" w:color="E9E6E6"/>
            </w:tcBorders>
            <w:tcMar>
              <w:top w:w="45" w:type="dxa"/>
              <w:left w:w="45" w:type="dxa"/>
              <w:bottom w:w="45" w:type="dxa"/>
              <w:right w:w="45" w:type="dxa"/>
            </w:tcMar>
            <w:vAlign w:val="center"/>
            <w:hideMark/>
          </w:tcPr>
          <w:p w14:paraId="479C4CB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12,500</w:t>
            </w:r>
          </w:p>
        </w:tc>
        <w:tc>
          <w:tcPr>
            <w:tcW w:w="0" w:type="auto"/>
            <w:tcBorders>
              <w:bottom w:val="dotted" w:sz="6" w:space="0" w:color="E9E6E6"/>
            </w:tcBorders>
            <w:tcMar>
              <w:top w:w="45" w:type="dxa"/>
              <w:left w:w="45" w:type="dxa"/>
              <w:bottom w:w="45" w:type="dxa"/>
              <w:right w:w="45" w:type="dxa"/>
            </w:tcMar>
            <w:vAlign w:val="center"/>
            <w:hideMark/>
          </w:tcPr>
          <w:p w14:paraId="5236C85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7.7</w:t>
            </w:r>
          </w:p>
        </w:tc>
        <w:tc>
          <w:tcPr>
            <w:tcW w:w="0" w:type="auto"/>
            <w:tcBorders>
              <w:bottom w:val="dotted" w:sz="6" w:space="0" w:color="E9E6E6"/>
            </w:tcBorders>
            <w:tcMar>
              <w:top w:w="45" w:type="dxa"/>
              <w:left w:w="45" w:type="dxa"/>
              <w:bottom w:w="45" w:type="dxa"/>
              <w:right w:w="45" w:type="dxa"/>
            </w:tcMar>
            <w:vAlign w:val="center"/>
            <w:hideMark/>
          </w:tcPr>
          <w:p w14:paraId="1AB17C1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6.5</w:t>
            </w:r>
          </w:p>
        </w:tc>
        <w:tc>
          <w:tcPr>
            <w:tcW w:w="814" w:type="dxa"/>
            <w:gridSpan w:val="2"/>
            <w:tcBorders>
              <w:bottom w:val="dotted" w:sz="6" w:space="0" w:color="E9E6E6"/>
            </w:tcBorders>
            <w:tcMar>
              <w:top w:w="45" w:type="dxa"/>
              <w:left w:w="45" w:type="dxa"/>
              <w:bottom w:w="45" w:type="dxa"/>
              <w:right w:w="45" w:type="dxa"/>
            </w:tcMar>
            <w:vAlign w:val="center"/>
            <w:hideMark/>
          </w:tcPr>
          <w:p w14:paraId="25F346B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6.9</w:t>
            </w:r>
          </w:p>
        </w:tc>
      </w:tr>
      <w:tr w:rsidR="00153816" w:rsidRPr="00EE05AA" w14:paraId="106ADF11" w14:textId="77777777" w:rsidTr="006B1E56">
        <w:trPr>
          <w:trHeight w:val="246"/>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7105501C"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Soc 2010 Major Group 8-9</w:t>
            </w:r>
          </w:p>
        </w:tc>
        <w:tc>
          <w:tcPr>
            <w:tcW w:w="0" w:type="auto"/>
            <w:tcBorders>
              <w:bottom w:val="dotted" w:sz="6" w:space="0" w:color="E9E6E6"/>
            </w:tcBorders>
            <w:tcMar>
              <w:top w:w="45" w:type="dxa"/>
              <w:left w:w="45" w:type="dxa"/>
              <w:bottom w:w="45" w:type="dxa"/>
              <w:right w:w="45" w:type="dxa"/>
            </w:tcMar>
            <w:vAlign w:val="center"/>
            <w:hideMark/>
          </w:tcPr>
          <w:p w14:paraId="73DF39FB"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17,500</w:t>
            </w:r>
          </w:p>
        </w:tc>
        <w:tc>
          <w:tcPr>
            <w:tcW w:w="0" w:type="auto"/>
            <w:tcBorders>
              <w:bottom w:val="dotted" w:sz="6" w:space="0" w:color="E9E6E6"/>
            </w:tcBorders>
            <w:tcMar>
              <w:top w:w="45" w:type="dxa"/>
              <w:left w:w="45" w:type="dxa"/>
              <w:bottom w:w="45" w:type="dxa"/>
              <w:right w:w="45" w:type="dxa"/>
            </w:tcMar>
            <w:vAlign w:val="center"/>
            <w:hideMark/>
          </w:tcPr>
          <w:p w14:paraId="55C048A5"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10.7</w:t>
            </w:r>
          </w:p>
        </w:tc>
        <w:tc>
          <w:tcPr>
            <w:tcW w:w="0" w:type="auto"/>
            <w:tcBorders>
              <w:bottom w:val="dotted" w:sz="6" w:space="0" w:color="E9E6E6"/>
            </w:tcBorders>
            <w:tcMar>
              <w:top w:w="45" w:type="dxa"/>
              <w:left w:w="45" w:type="dxa"/>
              <w:bottom w:w="45" w:type="dxa"/>
              <w:right w:w="45" w:type="dxa"/>
            </w:tcMar>
            <w:vAlign w:val="center"/>
            <w:hideMark/>
          </w:tcPr>
          <w:p w14:paraId="4CAFC286"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12.6</w:t>
            </w:r>
          </w:p>
        </w:tc>
        <w:tc>
          <w:tcPr>
            <w:tcW w:w="814" w:type="dxa"/>
            <w:gridSpan w:val="2"/>
            <w:tcBorders>
              <w:bottom w:val="dotted" w:sz="6" w:space="0" w:color="E9E6E6"/>
            </w:tcBorders>
            <w:tcMar>
              <w:top w:w="45" w:type="dxa"/>
              <w:left w:w="45" w:type="dxa"/>
              <w:bottom w:w="45" w:type="dxa"/>
              <w:right w:w="45" w:type="dxa"/>
            </w:tcMar>
            <w:vAlign w:val="center"/>
            <w:hideMark/>
          </w:tcPr>
          <w:p w14:paraId="0DC66DB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15.8</w:t>
            </w:r>
          </w:p>
        </w:tc>
      </w:tr>
      <w:tr w:rsidR="00153816" w:rsidRPr="00EE05AA" w14:paraId="037DB738" w14:textId="77777777" w:rsidTr="006B1E56">
        <w:trPr>
          <w:trHeight w:val="246"/>
          <w:tblCellSpacing w:w="15" w:type="dxa"/>
        </w:trPr>
        <w:tc>
          <w:tcPr>
            <w:tcW w:w="0" w:type="auto"/>
            <w:tcBorders>
              <w:bottom w:val="dotted" w:sz="6" w:space="0" w:color="E9E6E6"/>
            </w:tcBorders>
            <w:tcMar>
              <w:top w:w="72" w:type="dxa"/>
              <w:left w:w="240" w:type="dxa"/>
              <w:bottom w:w="72" w:type="dxa"/>
              <w:right w:w="0" w:type="dxa"/>
            </w:tcMar>
            <w:vAlign w:val="center"/>
            <w:hideMark/>
          </w:tcPr>
          <w:p w14:paraId="6EFC58C1"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8 Process Plant &amp; Machine Operatives</w:t>
            </w:r>
          </w:p>
        </w:tc>
        <w:tc>
          <w:tcPr>
            <w:tcW w:w="0" w:type="auto"/>
            <w:tcBorders>
              <w:bottom w:val="dotted" w:sz="6" w:space="0" w:color="E9E6E6"/>
            </w:tcBorders>
            <w:tcMar>
              <w:top w:w="45" w:type="dxa"/>
              <w:left w:w="45" w:type="dxa"/>
              <w:bottom w:w="45" w:type="dxa"/>
              <w:right w:w="45" w:type="dxa"/>
            </w:tcMar>
            <w:vAlign w:val="center"/>
            <w:hideMark/>
          </w:tcPr>
          <w:p w14:paraId="61E5CC3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3,800</w:t>
            </w:r>
          </w:p>
        </w:tc>
        <w:tc>
          <w:tcPr>
            <w:tcW w:w="0" w:type="auto"/>
            <w:tcBorders>
              <w:bottom w:val="dotted" w:sz="6" w:space="0" w:color="E9E6E6"/>
            </w:tcBorders>
            <w:tcMar>
              <w:top w:w="45" w:type="dxa"/>
              <w:left w:w="45" w:type="dxa"/>
              <w:bottom w:w="45" w:type="dxa"/>
              <w:right w:w="45" w:type="dxa"/>
            </w:tcMar>
            <w:vAlign w:val="center"/>
            <w:hideMark/>
          </w:tcPr>
          <w:p w14:paraId="47D732D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2.4</w:t>
            </w:r>
          </w:p>
        </w:tc>
        <w:tc>
          <w:tcPr>
            <w:tcW w:w="0" w:type="auto"/>
            <w:tcBorders>
              <w:bottom w:val="dotted" w:sz="6" w:space="0" w:color="E9E6E6"/>
            </w:tcBorders>
            <w:tcMar>
              <w:top w:w="45" w:type="dxa"/>
              <w:left w:w="45" w:type="dxa"/>
              <w:bottom w:w="45" w:type="dxa"/>
              <w:right w:w="45" w:type="dxa"/>
            </w:tcMar>
            <w:vAlign w:val="center"/>
            <w:hideMark/>
          </w:tcPr>
          <w:p w14:paraId="25C54C8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4.4</w:t>
            </w:r>
          </w:p>
        </w:tc>
        <w:tc>
          <w:tcPr>
            <w:tcW w:w="814" w:type="dxa"/>
            <w:gridSpan w:val="2"/>
            <w:tcBorders>
              <w:bottom w:val="dotted" w:sz="6" w:space="0" w:color="E9E6E6"/>
            </w:tcBorders>
            <w:tcMar>
              <w:top w:w="45" w:type="dxa"/>
              <w:left w:w="45" w:type="dxa"/>
              <w:bottom w:w="45" w:type="dxa"/>
              <w:right w:w="45" w:type="dxa"/>
            </w:tcMar>
            <w:vAlign w:val="center"/>
            <w:hideMark/>
          </w:tcPr>
          <w:p w14:paraId="1D1681C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5.8</w:t>
            </w:r>
          </w:p>
        </w:tc>
      </w:tr>
      <w:tr w:rsidR="00153816" w:rsidRPr="00EE05AA" w14:paraId="0804AB90" w14:textId="77777777" w:rsidTr="006B1E56">
        <w:trPr>
          <w:trHeight w:val="246"/>
          <w:tblCellSpacing w:w="15" w:type="dxa"/>
        </w:trPr>
        <w:tc>
          <w:tcPr>
            <w:tcW w:w="0" w:type="auto"/>
            <w:tcMar>
              <w:top w:w="72" w:type="dxa"/>
              <w:left w:w="240" w:type="dxa"/>
              <w:bottom w:w="72" w:type="dxa"/>
              <w:right w:w="0" w:type="dxa"/>
            </w:tcMar>
            <w:hideMark/>
          </w:tcPr>
          <w:p w14:paraId="08EA7F7E"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9 Elementary Occupations</w:t>
            </w:r>
          </w:p>
        </w:tc>
        <w:tc>
          <w:tcPr>
            <w:tcW w:w="0" w:type="auto"/>
            <w:tcMar>
              <w:top w:w="45" w:type="dxa"/>
              <w:left w:w="45" w:type="dxa"/>
              <w:bottom w:w="168" w:type="dxa"/>
              <w:right w:w="45" w:type="dxa"/>
            </w:tcMar>
            <w:hideMark/>
          </w:tcPr>
          <w:p w14:paraId="2729B554"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13,700</w:t>
            </w:r>
          </w:p>
        </w:tc>
        <w:tc>
          <w:tcPr>
            <w:tcW w:w="0" w:type="auto"/>
            <w:tcMar>
              <w:top w:w="45" w:type="dxa"/>
              <w:left w:w="45" w:type="dxa"/>
              <w:bottom w:w="168" w:type="dxa"/>
              <w:right w:w="45" w:type="dxa"/>
            </w:tcMar>
            <w:hideMark/>
          </w:tcPr>
          <w:p w14:paraId="061E25F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8.4</w:t>
            </w:r>
          </w:p>
        </w:tc>
        <w:tc>
          <w:tcPr>
            <w:tcW w:w="0" w:type="auto"/>
            <w:tcMar>
              <w:top w:w="45" w:type="dxa"/>
              <w:left w:w="45" w:type="dxa"/>
              <w:bottom w:w="168" w:type="dxa"/>
              <w:right w:w="45" w:type="dxa"/>
            </w:tcMar>
            <w:hideMark/>
          </w:tcPr>
          <w:p w14:paraId="4DA3556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8.2</w:t>
            </w:r>
          </w:p>
        </w:tc>
        <w:tc>
          <w:tcPr>
            <w:tcW w:w="814" w:type="dxa"/>
            <w:gridSpan w:val="2"/>
            <w:tcMar>
              <w:top w:w="45" w:type="dxa"/>
              <w:left w:w="45" w:type="dxa"/>
              <w:bottom w:w="168" w:type="dxa"/>
              <w:right w:w="45" w:type="dxa"/>
            </w:tcMar>
            <w:hideMark/>
          </w:tcPr>
          <w:p w14:paraId="0E0F9CF2"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9.9</w:t>
            </w:r>
          </w:p>
        </w:tc>
      </w:tr>
    </w:tbl>
    <w:p w14:paraId="363656E8" w14:textId="77777777" w:rsidR="00153816" w:rsidRPr="00D74B76" w:rsidRDefault="00153816" w:rsidP="00153816">
      <w:pPr>
        <w:spacing w:line="360" w:lineRule="auto"/>
        <w:ind w:right="960"/>
        <w:rPr>
          <w:rFonts w:asciiTheme="majorHAnsi" w:hAnsiTheme="majorHAnsi"/>
          <w:color w:val="000000" w:themeColor="text1"/>
        </w:rPr>
      </w:pPr>
      <w:r w:rsidRPr="00D74B76">
        <w:rPr>
          <w:rFonts w:asciiTheme="majorHAnsi" w:hAnsiTheme="majorHAnsi"/>
          <w:color w:val="000000" w:themeColor="text1"/>
        </w:rPr>
        <w:t xml:space="preserve">terms of patterns of employment, the proportion of those employed full time is a little lower than the average for other parts of the region and country, with </w:t>
      </w:r>
      <w:proofErr w:type="gramStart"/>
      <w:r w:rsidRPr="00D74B76">
        <w:rPr>
          <w:rFonts w:asciiTheme="majorHAnsi" w:hAnsiTheme="majorHAnsi"/>
          <w:color w:val="000000" w:themeColor="text1"/>
        </w:rPr>
        <w:t>lower than average</w:t>
      </w:r>
      <w:proofErr w:type="gramEnd"/>
      <w:r w:rsidRPr="00D74B76">
        <w:rPr>
          <w:rFonts w:asciiTheme="majorHAnsi" w:hAnsiTheme="majorHAnsi"/>
          <w:color w:val="000000" w:themeColor="text1"/>
        </w:rPr>
        <w:t xml:space="preserve"> numbers employed in construction, utilities, and manufacturing. Perhaps unsurprisingly, relatively high levels of employment within education, care and accommodation services are also apparent from associated data, although the higher levels of employment within finance may represent a degree of commuter activity. </w:t>
      </w:r>
    </w:p>
    <w:p w14:paraId="5DB0C078" w14:textId="77777777" w:rsidR="00153816" w:rsidRPr="00D74B76" w:rsidRDefault="00153816" w:rsidP="00153816">
      <w:pPr>
        <w:spacing w:line="360" w:lineRule="auto"/>
        <w:ind w:right="960"/>
        <w:rPr>
          <w:rFonts w:asciiTheme="majorHAnsi" w:hAnsiTheme="majorHAnsi"/>
          <w:color w:val="000000" w:themeColor="text1"/>
        </w:rPr>
      </w:pPr>
    </w:p>
    <w:p w14:paraId="60D4B2A7" w14:textId="77777777" w:rsidR="00153816" w:rsidRPr="00EE05AA" w:rsidRDefault="00153816" w:rsidP="00153816">
      <w:pPr>
        <w:ind w:right="960"/>
        <w:rPr>
          <w:rFonts w:asciiTheme="majorHAnsi" w:hAnsiTheme="majorHAnsi"/>
          <w:color w:val="0000BB"/>
        </w:rPr>
      </w:pPr>
    </w:p>
    <w:p w14:paraId="5AD6A28F" w14:textId="77777777" w:rsidR="00153816" w:rsidRPr="00EE05AA" w:rsidRDefault="00153816" w:rsidP="00153816">
      <w:pPr>
        <w:ind w:right="960"/>
        <w:rPr>
          <w:rFonts w:asciiTheme="majorHAnsi" w:hAnsiTheme="majorHAnsi"/>
          <w:color w:val="0000BB"/>
        </w:rPr>
      </w:pPr>
    </w:p>
    <w:p w14:paraId="77272562" w14:textId="77777777" w:rsidR="00153816" w:rsidRDefault="00153816" w:rsidP="00153816">
      <w:pPr>
        <w:ind w:right="960"/>
        <w:rPr>
          <w:rFonts w:asciiTheme="majorHAnsi" w:hAnsiTheme="majorHAnsi"/>
          <w:color w:val="0000BB"/>
        </w:rPr>
      </w:pPr>
    </w:p>
    <w:p w14:paraId="33D20DD9" w14:textId="77777777" w:rsidR="00153816" w:rsidRPr="00EE05AA" w:rsidRDefault="00153816" w:rsidP="00153816">
      <w:pPr>
        <w:ind w:right="960"/>
        <w:rPr>
          <w:rFonts w:asciiTheme="majorHAnsi" w:hAnsiTheme="majorHAnsi"/>
          <w:color w:val="0000BB"/>
        </w:rPr>
      </w:pPr>
    </w:p>
    <w:p w14:paraId="1C6A1161" w14:textId="77777777" w:rsidR="00153816" w:rsidRPr="00EE05AA" w:rsidRDefault="00153816" w:rsidP="00153816">
      <w:pPr>
        <w:ind w:right="960"/>
        <w:rPr>
          <w:rFonts w:asciiTheme="majorHAnsi" w:hAnsiTheme="majorHAnsi"/>
          <w:color w:val="0000BB"/>
        </w:rPr>
      </w:pPr>
    </w:p>
    <w:p w14:paraId="2C297E05" w14:textId="77777777" w:rsidR="00153816" w:rsidRPr="00D74B76" w:rsidRDefault="00153816" w:rsidP="00153816">
      <w:pPr>
        <w:pStyle w:val="ListParagraph"/>
        <w:numPr>
          <w:ilvl w:val="0"/>
          <w:numId w:val="14"/>
        </w:numPr>
        <w:ind w:right="960"/>
        <w:rPr>
          <w:rFonts w:asciiTheme="majorHAnsi" w:hAnsiTheme="majorHAnsi"/>
          <w:b/>
          <w:bCs/>
          <w:color w:val="000000" w:themeColor="text1"/>
        </w:rPr>
      </w:pPr>
      <w:r w:rsidRPr="00D74B76">
        <w:rPr>
          <w:rFonts w:asciiTheme="majorHAnsi" w:hAnsiTheme="majorHAnsi"/>
          <w:b/>
          <w:bCs/>
          <w:color w:val="000000" w:themeColor="text1"/>
        </w:rPr>
        <w:t>Welfare benefit claimants</w:t>
      </w:r>
    </w:p>
    <w:tbl>
      <w:tblPr>
        <w:tblW w:w="9209" w:type="dxa"/>
        <w:tblCellSpacing w:w="15" w:type="dxa"/>
        <w:tblInd w:w="-181" w:type="dxa"/>
        <w:tblBorders>
          <w:top w:val="single" w:sz="12" w:space="0" w:color="CCCCCC"/>
          <w:bottom w:val="single" w:sz="2" w:space="0" w:color="CCCCCC"/>
        </w:tblBorders>
        <w:tblCellMar>
          <w:top w:w="15" w:type="dxa"/>
          <w:left w:w="15" w:type="dxa"/>
          <w:bottom w:w="15" w:type="dxa"/>
          <w:right w:w="15" w:type="dxa"/>
        </w:tblCellMar>
        <w:tblLook w:val="04A0" w:firstRow="1" w:lastRow="0" w:firstColumn="1" w:lastColumn="0" w:noHBand="0" w:noVBand="1"/>
      </w:tblPr>
      <w:tblGrid>
        <w:gridCol w:w="1090"/>
        <w:gridCol w:w="2032"/>
        <w:gridCol w:w="2027"/>
        <w:gridCol w:w="2024"/>
        <w:gridCol w:w="2036"/>
      </w:tblGrid>
      <w:tr w:rsidR="00153816" w:rsidRPr="00EE05AA" w14:paraId="4477C0ED" w14:textId="77777777" w:rsidTr="006B1E56">
        <w:trPr>
          <w:trHeight w:val="713"/>
          <w:tblHeader/>
          <w:tblCellSpacing w:w="15" w:type="dxa"/>
        </w:trPr>
        <w:tc>
          <w:tcPr>
            <w:tcW w:w="0" w:type="auto"/>
            <w:gridSpan w:val="5"/>
            <w:tcBorders>
              <w:top w:val="nil"/>
              <w:left w:val="nil"/>
              <w:bottom w:val="nil"/>
              <w:right w:val="nil"/>
            </w:tcBorders>
            <w:tcMar>
              <w:top w:w="72" w:type="dxa"/>
              <w:left w:w="30" w:type="dxa"/>
              <w:bottom w:w="72" w:type="dxa"/>
              <w:right w:w="30" w:type="dxa"/>
            </w:tcMar>
            <w:vAlign w:val="center"/>
            <w:hideMark/>
          </w:tcPr>
          <w:p w14:paraId="4ED4601B" w14:textId="77777777" w:rsidR="00153816" w:rsidRPr="00EE05AA" w:rsidRDefault="00153816" w:rsidP="006B1E56">
            <w:pPr>
              <w:shd w:val="clear" w:color="auto" w:fill="F3F3F3"/>
              <w:spacing w:after="45"/>
              <w:rPr>
                <w:rFonts w:asciiTheme="majorHAnsi" w:hAnsiTheme="majorHAnsi"/>
                <w:b/>
                <w:bCs/>
                <w:color w:val="545252"/>
              </w:rPr>
            </w:pPr>
            <w:r w:rsidRPr="00EE05AA">
              <w:rPr>
                <w:rFonts w:asciiTheme="majorHAnsi" w:hAnsiTheme="majorHAnsi"/>
                <w:b/>
                <w:bCs/>
                <w:color w:val="545252"/>
              </w:rPr>
              <w:t>Claimant count by sex - not seasonally adjusted (November 2020)</w:t>
            </w:r>
          </w:p>
        </w:tc>
      </w:tr>
      <w:tr w:rsidR="00153816" w:rsidRPr="00EE05AA" w14:paraId="593EEBB9" w14:textId="77777777" w:rsidTr="006B1E56">
        <w:trPr>
          <w:trHeight w:val="454"/>
          <w:tblHeader/>
          <w:tblCellSpacing w:w="15" w:type="dxa"/>
        </w:trPr>
        <w:tc>
          <w:tcPr>
            <w:tcW w:w="987" w:type="dxa"/>
            <w:tcBorders>
              <w:bottom w:val="dotted" w:sz="6" w:space="0" w:color="E9E6E6"/>
            </w:tcBorders>
            <w:tcMar>
              <w:top w:w="72" w:type="dxa"/>
              <w:left w:w="30" w:type="dxa"/>
              <w:bottom w:w="72" w:type="dxa"/>
              <w:right w:w="30" w:type="dxa"/>
            </w:tcMar>
            <w:hideMark/>
          </w:tcPr>
          <w:p w14:paraId="41312B20"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 </w:t>
            </w:r>
          </w:p>
        </w:tc>
        <w:tc>
          <w:tcPr>
            <w:tcW w:w="2013" w:type="dxa"/>
            <w:tcBorders>
              <w:bottom w:val="dotted" w:sz="6" w:space="0" w:color="E9E6E6"/>
            </w:tcBorders>
            <w:tcMar>
              <w:top w:w="72" w:type="dxa"/>
              <w:left w:w="30" w:type="dxa"/>
              <w:bottom w:w="72" w:type="dxa"/>
              <w:right w:w="30" w:type="dxa"/>
            </w:tcMar>
            <w:hideMark/>
          </w:tcPr>
          <w:p w14:paraId="16503B1A"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(Numbers)</w:t>
            </w:r>
          </w:p>
        </w:tc>
        <w:tc>
          <w:tcPr>
            <w:tcW w:w="2011" w:type="dxa"/>
            <w:tcBorders>
              <w:bottom w:val="dotted" w:sz="6" w:space="0" w:color="E9E6E6"/>
            </w:tcBorders>
            <w:tcMar>
              <w:top w:w="72" w:type="dxa"/>
              <w:left w:w="30" w:type="dxa"/>
              <w:bottom w:w="72" w:type="dxa"/>
              <w:right w:w="30" w:type="dxa"/>
            </w:tcMar>
            <w:hideMark/>
          </w:tcPr>
          <w:p w14:paraId="1EF80B12"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w:t>
            </w:r>
          </w:p>
        </w:tc>
        <w:tc>
          <w:tcPr>
            <w:tcW w:w="2011" w:type="dxa"/>
            <w:tcBorders>
              <w:bottom w:val="dotted" w:sz="6" w:space="0" w:color="E9E6E6"/>
            </w:tcBorders>
            <w:tcMar>
              <w:top w:w="72" w:type="dxa"/>
              <w:left w:w="30" w:type="dxa"/>
              <w:bottom w:w="72" w:type="dxa"/>
              <w:right w:w="30" w:type="dxa"/>
            </w:tcMar>
            <w:hideMark/>
          </w:tcPr>
          <w:p w14:paraId="2CCD74FA"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South East</w:t>
            </w:r>
            <w:r w:rsidRPr="00EE05AA">
              <w:rPr>
                <w:rFonts w:asciiTheme="majorHAnsi" w:hAnsiTheme="majorHAnsi"/>
                <w:b/>
                <w:bCs/>
                <w:color w:val="333333"/>
              </w:rPr>
              <w:br/>
              <w:t>(%)</w:t>
            </w:r>
          </w:p>
        </w:tc>
        <w:tc>
          <w:tcPr>
            <w:tcW w:w="2007" w:type="dxa"/>
            <w:tcBorders>
              <w:bottom w:val="dotted" w:sz="6" w:space="0" w:color="E9E6E6"/>
            </w:tcBorders>
            <w:tcMar>
              <w:top w:w="72" w:type="dxa"/>
              <w:left w:w="30" w:type="dxa"/>
              <w:bottom w:w="72" w:type="dxa"/>
              <w:right w:w="30" w:type="dxa"/>
            </w:tcMar>
            <w:hideMark/>
          </w:tcPr>
          <w:p w14:paraId="610D6094"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Great Britain</w:t>
            </w:r>
            <w:r w:rsidRPr="00EE05AA">
              <w:rPr>
                <w:rFonts w:asciiTheme="majorHAnsi" w:hAnsiTheme="majorHAnsi"/>
                <w:b/>
                <w:bCs/>
                <w:color w:val="333333"/>
              </w:rPr>
              <w:br/>
              <w:t>(%)</w:t>
            </w:r>
          </w:p>
        </w:tc>
      </w:tr>
      <w:tr w:rsidR="00153816" w:rsidRPr="00EE05AA" w14:paraId="4821DEE1" w14:textId="77777777" w:rsidTr="006B1E56">
        <w:trPr>
          <w:trHeight w:val="216"/>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5DE60FDE"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All People</w:t>
            </w:r>
          </w:p>
        </w:tc>
        <w:tc>
          <w:tcPr>
            <w:tcW w:w="0" w:type="auto"/>
            <w:tcBorders>
              <w:bottom w:val="dotted" w:sz="6" w:space="0" w:color="E9E6E6"/>
            </w:tcBorders>
            <w:tcMar>
              <w:top w:w="45" w:type="dxa"/>
              <w:left w:w="45" w:type="dxa"/>
              <w:bottom w:w="45" w:type="dxa"/>
              <w:right w:w="45" w:type="dxa"/>
            </w:tcMar>
            <w:vAlign w:val="center"/>
            <w:hideMark/>
          </w:tcPr>
          <w:p w14:paraId="5DFB948F"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13,935</w:t>
            </w:r>
          </w:p>
        </w:tc>
        <w:tc>
          <w:tcPr>
            <w:tcW w:w="0" w:type="auto"/>
            <w:tcBorders>
              <w:bottom w:val="dotted" w:sz="6" w:space="0" w:color="E9E6E6"/>
            </w:tcBorders>
            <w:tcMar>
              <w:top w:w="45" w:type="dxa"/>
              <w:left w:w="45" w:type="dxa"/>
              <w:bottom w:w="45" w:type="dxa"/>
              <w:right w:w="45" w:type="dxa"/>
            </w:tcMar>
            <w:vAlign w:val="center"/>
            <w:hideMark/>
          </w:tcPr>
          <w:p w14:paraId="177F14C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6.7</w:t>
            </w:r>
          </w:p>
        </w:tc>
        <w:tc>
          <w:tcPr>
            <w:tcW w:w="0" w:type="auto"/>
            <w:tcBorders>
              <w:bottom w:val="dotted" w:sz="6" w:space="0" w:color="E9E6E6"/>
            </w:tcBorders>
            <w:tcMar>
              <w:top w:w="45" w:type="dxa"/>
              <w:left w:w="45" w:type="dxa"/>
              <w:bottom w:w="45" w:type="dxa"/>
              <w:right w:w="45" w:type="dxa"/>
            </w:tcMar>
            <w:vAlign w:val="center"/>
            <w:hideMark/>
          </w:tcPr>
          <w:p w14:paraId="014D068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5.2</w:t>
            </w:r>
          </w:p>
        </w:tc>
        <w:tc>
          <w:tcPr>
            <w:tcW w:w="0" w:type="auto"/>
            <w:tcBorders>
              <w:bottom w:val="dotted" w:sz="6" w:space="0" w:color="E9E6E6"/>
            </w:tcBorders>
            <w:tcMar>
              <w:top w:w="45" w:type="dxa"/>
              <w:left w:w="45" w:type="dxa"/>
              <w:bottom w:w="45" w:type="dxa"/>
              <w:right w:w="45" w:type="dxa"/>
            </w:tcMar>
            <w:vAlign w:val="center"/>
            <w:hideMark/>
          </w:tcPr>
          <w:p w14:paraId="0300935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6.3</w:t>
            </w:r>
          </w:p>
        </w:tc>
      </w:tr>
      <w:tr w:rsidR="00153816" w:rsidRPr="00EE05AA" w14:paraId="321C22E7" w14:textId="77777777" w:rsidTr="006B1E56">
        <w:trPr>
          <w:trHeight w:val="216"/>
          <w:tblCellSpacing w:w="15" w:type="dxa"/>
        </w:trPr>
        <w:tc>
          <w:tcPr>
            <w:tcW w:w="0" w:type="auto"/>
            <w:tcBorders>
              <w:bottom w:val="dotted" w:sz="6" w:space="0" w:color="E9E6E6"/>
            </w:tcBorders>
            <w:tcMar>
              <w:top w:w="72" w:type="dxa"/>
              <w:left w:w="240" w:type="dxa"/>
              <w:bottom w:w="72" w:type="dxa"/>
              <w:right w:w="0" w:type="dxa"/>
            </w:tcMar>
            <w:vAlign w:val="center"/>
            <w:hideMark/>
          </w:tcPr>
          <w:p w14:paraId="56703464"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Males</w:t>
            </w:r>
          </w:p>
        </w:tc>
        <w:tc>
          <w:tcPr>
            <w:tcW w:w="0" w:type="auto"/>
            <w:tcBorders>
              <w:bottom w:val="dotted" w:sz="6" w:space="0" w:color="E9E6E6"/>
            </w:tcBorders>
            <w:tcMar>
              <w:top w:w="45" w:type="dxa"/>
              <w:left w:w="45" w:type="dxa"/>
              <w:bottom w:w="45" w:type="dxa"/>
              <w:right w:w="45" w:type="dxa"/>
            </w:tcMar>
            <w:vAlign w:val="center"/>
            <w:hideMark/>
          </w:tcPr>
          <w:p w14:paraId="2996B8F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8,265</w:t>
            </w:r>
          </w:p>
        </w:tc>
        <w:tc>
          <w:tcPr>
            <w:tcW w:w="0" w:type="auto"/>
            <w:tcBorders>
              <w:bottom w:val="dotted" w:sz="6" w:space="0" w:color="E9E6E6"/>
            </w:tcBorders>
            <w:tcMar>
              <w:top w:w="45" w:type="dxa"/>
              <w:left w:w="45" w:type="dxa"/>
              <w:bottom w:w="45" w:type="dxa"/>
              <w:right w:w="45" w:type="dxa"/>
            </w:tcMar>
            <w:vAlign w:val="center"/>
            <w:hideMark/>
          </w:tcPr>
          <w:p w14:paraId="1642D75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FF0000"/>
              </w:rPr>
              <w:t>7.9</w:t>
            </w:r>
          </w:p>
        </w:tc>
        <w:tc>
          <w:tcPr>
            <w:tcW w:w="0" w:type="auto"/>
            <w:tcBorders>
              <w:bottom w:val="dotted" w:sz="6" w:space="0" w:color="E9E6E6"/>
            </w:tcBorders>
            <w:tcMar>
              <w:top w:w="45" w:type="dxa"/>
              <w:left w:w="45" w:type="dxa"/>
              <w:bottom w:w="45" w:type="dxa"/>
              <w:right w:w="45" w:type="dxa"/>
            </w:tcMar>
            <w:vAlign w:val="center"/>
            <w:hideMark/>
          </w:tcPr>
          <w:p w14:paraId="1D4CD96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6.1</w:t>
            </w:r>
          </w:p>
        </w:tc>
        <w:tc>
          <w:tcPr>
            <w:tcW w:w="0" w:type="auto"/>
            <w:tcBorders>
              <w:bottom w:val="dotted" w:sz="6" w:space="0" w:color="E9E6E6"/>
            </w:tcBorders>
            <w:tcMar>
              <w:top w:w="45" w:type="dxa"/>
              <w:left w:w="45" w:type="dxa"/>
              <w:bottom w:w="45" w:type="dxa"/>
              <w:right w:w="45" w:type="dxa"/>
            </w:tcMar>
            <w:vAlign w:val="center"/>
            <w:hideMark/>
          </w:tcPr>
          <w:p w14:paraId="283C733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7.5</w:t>
            </w:r>
          </w:p>
        </w:tc>
      </w:tr>
      <w:tr w:rsidR="00153816" w:rsidRPr="00EE05AA" w14:paraId="4311A178" w14:textId="77777777" w:rsidTr="006B1E56">
        <w:trPr>
          <w:trHeight w:val="216"/>
          <w:tblCellSpacing w:w="15" w:type="dxa"/>
        </w:trPr>
        <w:tc>
          <w:tcPr>
            <w:tcW w:w="0" w:type="auto"/>
            <w:tcBorders>
              <w:bottom w:val="single" w:sz="18" w:space="0" w:color="DDDDDD"/>
            </w:tcBorders>
            <w:tcMar>
              <w:top w:w="72" w:type="dxa"/>
              <w:left w:w="240" w:type="dxa"/>
              <w:bottom w:w="72" w:type="dxa"/>
              <w:right w:w="0" w:type="dxa"/>
            </w:tcMar>
            <w:hideMark/>
          </w:tcPr>
          <w:p w14:paraId="7C73B44F"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Females</w:t>
            </w:r>
          </w:p>
        </w:tc>
        <w:tc>
          <w:tcPr>
            <w:tcW w:w="0" w:type="auto"/>
            <w:tcBorders>
              <w:bottom w:val="single" w:sz="18" w:space="0" w:color="DDDDDD"/>
            </w:tcBorders>
            <w:tcMar>
              <w:top w:w="45" w:type="dxa"/>
              <w:left w:w="45" w:type="dxa"/>
              <w:bottom w:w="168" w:type="dxa"/>
              <w:right w:w="45" w:type="dxa"/>
            </w:tcMar>
            <w:hideMark/>
          </w:tcPr>
          <w:p w14:paraId="7DD923F8"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5,670</w:t>
            </w:r>
          </w:p>
        </w:tc>
        <w:tc>
          <w:tcPr>
            <w:tcW w:w="0" w:type="auto"/>
            <w:tcBorders>
              <w:bottom w:val="single" w:sz="18" w:space="0" w:color="DDDDDD"/>
            </w:tcBorders>
            <w:tcMar>
              <w:top w:w="45" w:type="dxa"/>
              <w:left w:w="45" w:type="dxa"/>
              <w:bottom w:w="168" w:type="dxa"/>
              <w:right w:w="45" w:type="dxa"/>
            </w:tcMar>
            <w:hideMark/>
          </w:tcPr>
          <w:p w14:paraId="0E45E93E"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5.6</w:t>
            </w:r>
          </w:p>
        </w:tc>
        <w:tc>
          <w:tcPr>
            <w:tcW w:w="0" w:type="auto"/>
            <w:tcBorders>
              <w:bottom w:val="single" w:sz="18" w:space="0" w:color="DDDDDD"/>
            </w:tcBorders>
            <w:tcMar>
              <w:top w:w="45" w:type="dxa"/>
              <w:left w:w="45" w:type="dxa"/>
              <w:bottom w:w="168" w:type="dxa"/>
              <w:right w:w="45" w:type="dxa"/>
            </w:tcMar>
            <w:hideMark/>
          </w:tcPr>
          <w:p w14:paraId="2B11A4A6"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4.4</w:t>
            </w:r>
          </w:p>
        </w:tc>
        <w:tc>
          <w:tcPr>
            <w:tcW w:w="0" w:type="auto"/>
            <w:tcBorders>
              <w:bottom w:val="single" w:sz="18" w:space="0" w:color="DDDDDD"/>
            </w:tcBorders>
            <w:tcMar>
              <w:top w:w="45" w:type="dxa"/>
              <w:left w:w="45" w:type="dxa"/>
              <w:bottom w:w="168" w:type="dxa"/>
              <w:right w:w="45" w:type="dxa"/>
            </w:tcMar>
            <w:hideMark/>
          </w:tcPr>
          <w:p w14:paraId="5EE645D3"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5.2</w:t>
            </w:r>
          </w:p>
        </w:tc>
      </w:tr>
    </w:tbl>
    <w:p w14:paraId="166C4F10" w14:textId="77777777" w:rsidR="00153816" w:rsidRPr="00EE05AA" w:rsidRDefault="00153816" w:rsidP="00153816">
      <w:pPr>
        <w:ind w:right="960"/>
        <w:rPr>
          <w:rFonts w:asciiTheme="majorHAnsi" w:hAnsiTheme="majorHAnsi"/>
          <w:color w:val="0000BB"/>
        </w:rPr>
      </w:pPr>
    </w:p>
    <w:p w14:paraId="5421E3D1" w14:textId="77777777" w:rsidR="00153816" w:rsidRPr="00EE05AA" w:rsidRDefault="00153816" w:rsidP="00153816">
      <w:pPr>
        <w:ind w:right="960"/>
        <w:rPr>
          <w:rFonts w:asciiTheme="majorHAnsi" w:hAnsiTheme="majorHAnsi"/>
          <w:color w:val="0000BB"/>
        </w:rPr>
      </w:pPr>
    </w:p>
    <w:p w14:paraId="332D9BF3" w14:textId="77777777" w:rsidR="00153816" w:rsidRPr="00EE05AA" w:rsidRDefault="00153816" w:rsidP="00153816">
      <w:pPr>
        <w:spacing w:line="360" w:lineRule="auto"/>
        <w:ind w:right="960"/>
        <w:rPr>
          <w:rFonts w:asciiTheme="majorHAnsi" w:hAnsiTheme="majorHAnsi"/>
          <w:color w:val="000000" w:themeColor="text1"/>
        </w:rPr>
      </w:pPr>
      <w:r w:rsidRPr="00EE05AA">
        <w:rPr>
          <w:rFonts w:asciiTheme="majorHAnsi" w:hAnsiTheme="majorHAnsi"/>
          <w:color w:val="000000" w:themeColor="text1"/>
        </w:rPr>
        <w:t xml:space="preserve">From the table above, it appears that relatively more men in the local area are recipients of welfare benefits than in other parts of the country, although these differences are rather minimal. </w:t>
      </w:r>
    </w:p>
    <w:p w14:paraId="77C476A4" w14:textId="77777777" w:rsidR="00153816" w:rsidRPr="00EE05AA" w:rsidRDefault="00153816" w:rsidP="00153816">
      <w:pPr>
        <w:ind w:right="960"/>
        <w:rPr>
          <w:rFonts w:asciiTheme="majorHAnsi" w:hAnsiTheme="majorHAnsi"/>
          <w:color w:val="0000BB"/>
        </w:rPr>
      </w:pPr>
    </w:p>
    <w:p w14:paraId="470868B7" w14:textId="77777777" w:rsidR="00153816" w:rsidRDefault="00153816" w:rsidP="00153816">
      <w:pPr>
        <w:ind w:right="960"/>
        <w:rPr>
          <w:rFonts w:asciiTheme="majorHAnsi" w:hAnsiTheme="majorHAnsi"/>
          <w:color w:val="0000BB"/>
        </w:rPr>
      </w:pPr>
    </w:p>
    <w:p w14:paraId="28A60721" w14:textId="77777777" w:rsidR="00153816" w:rsidRDefault="00153816" w:rsidP="00153816">
      <w:pPr>
        <w:ind w:right="960"/>
        <w:rPr>
          <w:rFonts w:asciiTheme="majorHAnsi" w:hAnsiTheme="majorHAnsi"/>
          <w:color w:val="0000BB"/>
        </w:rPr>
      </w:pPr>
    </w:p>
    <w:p w14:paraId="046C3DE1" w14:textId="77777777" w:rsidR="00153816" w:rsidRPr="00EE05AA" w:rsidRDefault="00153816" w:rsidP="00153816">
      <w:pPr>
        <w:ind w:right="960"/>
        <w:rPr>
          <w:rFonts w:asciiTheme="majorHAnsi" w:hAnsiTheme="majorHAnsi"/>
          <w:color w:val="0000BB"/>
        </w:rPr>
      </w:pPr>
    </w:p>
    <w:p w14:paraId="478E9FC1" w14:textId="77777777" w:rsidR="00153816" w:rsidRPr="00EE05AA" w:rsidRDefault="00153816" w:rsidP="00153816">
      <w:pPr>
        <w:pStyle w:val="ListParagraph"/>
        <w:numPr>
          <w:ilvl w:val="0"/>
          <w:numId w:val="14"/>
        </w:numPr>
        <w:spacing w:line="360" w:lineRule="auto"/>
        <w:ind w:right="960"/>
        <w:rPr>
          <w:rFonts w:asciiTheme="majorHAnsi" w:hAnsiTheme="majorHAnsi"/>
          <w:b/>
          <w:bCs/>
          <w:color w:val="000000" w:themeColor="text1"/>
        </w:rPr>
      </w:pPr>
      <w:r w:rsidRPr="00EE05AA">
        <w:rPr>
          <w:rFonts w:asciiTheme="majorHAnsi" w:hAnsiTheme="majorHAnsi"/>
          <w:b/>
          <w:bCs/>
          <w:color w:val="000000" w:themeColor="text1"/>
        </w:rPr>
        <w:t>Educational attainment and other education-related data</w:t>
      </w:r>
    </w:p>
    <w:p w14:paraId="45937FBC" w14:textId="77777777" w:rsidR="00153816" w:rsidRPr="00D74B76" w:rsidRDefault="00153816" w:rsidP="00153816">
      <w:pPr>
        <w:pStyle w:val="ListParagraph"/>
        <w:spacing w:line="360" w:lineRule="auto"/>
        <w:ind w:right="960"/>
        <w:rPr>
          <w:rFonts w:asciiTheme="majorHAnsi" w:hAnsiTheme="majorHAnsi"/>
          <w:b/>
          <w:bCs/>
          <w:color w:val="000000" w:themeColor="text1"/>
        </w:rPr>
      </w:pPr>
    </w:p>
    <w:p w14:paraId="46983A38" w14:textId="77777777" w:rsidR="00153816" w:rsidRPr="00D74B76" w:rsidRDefault="00153816" w:rsidP="00153816">
      <w:pPr>
        <w:pStyle w:val="ListParagraph"/>
        <w:spacing w:line="360" w:lineRule="auto"/>
        <w:ind w:right="960"/>
        <w:rPr>
          <w:rFonts w:asciiTheme="majorHAnsi" w:hAnsiTheme="majorHAnsi"/>
          <w:color w:val="000000" w:themeColor="text1"/>
        </w:rPr>
      </w:pPr>
      <w:r w:rsidRPr="00D74B76">
        <w:rPr>
          <w:rFonts w:asciiTheme="majorHAnsi" w:hAnsiTheme="majorHAnsi"/>
          <w:color w:val="000000" w:themeColor="text1"/>
        </w:rPr>
        <w:t xml:space="preserve">The following tables outline the educational attainment at levels 2 (GCSE level), Level 3 (A level and equivalent) and above, as well as summarising data concerning the school exclusion rate and the proportion of SEN pupils for the local population.  </w:t>
      </w:r>
    </w:p>
    <w:p w14:paraId="58FE57E6" w14:textId="77777777" w:rsidR="00153816" w:rsidRPr="00D74B76" w:rsidRDefault="00153816" w:rsidP="00153816">
      <w:pPr>
        <w:ind w:right="960"/>
        <w:rPr>
          <w:rFonts w:asciiTheme="majorHAnsi" w:hAnsiTheme="majorHAnsi"/>
          <w:color w:val="0000BB"/>
        </w:rPr>
      </w:pPr>
    </w:p>
    <w:tbl>
      <w:tblPr>
        <w:tblW w:w="9108" w:type="dxa"/>
        <w:tblCellSpacing w:w="15" w:type="dxa"/>
        <w:tblBorders>
          <w:top w:val="single" w:sz="12" w:space="0" w:color="CCCCCC"/>
          <w:bottom w:val="single" w:sz="2" w:space="0" w:color="CCCCCC"/>
        </w:tblBorders>
        <w:tblCellMar>
          <w:top w:w="15" w:type="dxa"/>
          <w:left w:w="15" w:type="dxa"/>
          <w:bottom w:w="15" w:type="dxa"/>
          <w:right w:w="15" w:type="dxa"/>
        </w:tblCellMar>
        <w:tblLook w:val="04A0" w:firstRow="1" w:lastRow="0" w:firstColumn="1" w:lastColumn="0" w:noHBand="0" w:noVBand="1"/>
      </w:tblPr>
      <w:tblGrid>
        <w:gridCol w:w="1740"/>
        <w:gridCol w:w="1840"/>
        <w:gridCol w:w="1840"/>
        <w:gridCol w:w="1838"/>
        <w:gridCol w:w="1850"/>
      </w:tblGrid>
      <w:tr w:rsidR="00153816" w:rsidRPr="00EE05AA" w14:paraId="1319CF84" w14:textId="77777777" w:rsidTr="006B1E56">
        <w:trPr>
          <w:trHeight w:val="736"/>
          <w:tblHeader/>
          <w:tblCellSpacing w:w="15" w:type="dxa"/>
        </w:trPr>
        <w:tc>
          <w:tcPr>
            <w:tcW w:w="0" w:type="auto"/>
            <w:gridSpan w:val="5"/>
            <w:tcBorders>
              <w:top w:val="nil"/>
              <w:left w:val="nil"/>
              <w:bottom w:val="nil"/>
              <w:right w:val="nil"/>
            </w:tcBorders>
            <w:tcMar>
              <w:top w:w="72" w:type="dxa"/>
              <w:left w:w="30" w:type="dxa"/>
              <w:bottom w:w="72" w:type="dxa"/>
              <w:right w:w="30" w:type="dxa"/>
            </w:tcMar>
            <w:vAlign w:val="center"/>
            <w:hideMark/>
          </w:tcPr>
          <w:p w14:paraId="307EFF6D" w14:textId="77777777" w:rsidR="00153816" w:rsidRPr="00EE05AA" w:rsidRDefault="00153816" w:rsidP="006B1E56">
            <w:pPr>
              <w:shd w:val="clear" w:color="auto" w:fill="F3F3F3"/>
              <w:spacing w:after="45"/>
              <w:rPr>
                <w:rFonts w:asciiTheme="majorHAnsi" w:hAnsiTheme="majorHAnsi"/>
                <w:b/>
                <w:bCs/>
                <w:color w:val="545252"/>
              </w:rPr>
            </w:pPr>
            <w:r w:rsidRPr="00EE05AA">
              <w:rPr>
                <w:rFonts w:asciiTheme="majorHAnsi" w:hAnsiTheme="majorHAnsi"/>
                <w:b/>
                <w:bCs/>
                <w:color w:val="545252"/>
              </w:rPr>
              <w:lastRenderedPageBreak/>
              <w:t>Qualifications (Jan 2019-Dec 2019):</w:t>
            </w:r>
          </w:p>
        </w:tc>
      </w:tr>
      <w:tr w:rsidR="00153816" w:rsidRPr="00EE05AA" w14:paraId="585A4F28" w14:textId="77777777" w:rsidTr="006B1E56">
        <w:trPr>
          <w:trHeight w:val="469"/>
          <w:tblHeader/>
          <w:tblCellSpacing w:w="15" w:type="dxa"/>
        </w:trPr>
        <w:tc>
          <w:tcPr>
            <w:tcW w:w="1665" w:type="dxa"/>
            <w:tcBorders>
              <w:bottom w:val="dotted" w:sz="6" w:space="0" w:color="E9E6E6"/>
            </w:tcBorders>
            <w:tcMar>
              <w:top w:w="72" w:type="dxa"/>
              <w:left w:w="30" w:type="dxa"/>
              <w:bottom w:w="72" w:type="dxa"/>
              <w:right w:w="30" w:type="dxa"/>
            </w:tcMar>
            <w:hideMark/>
          </w:tcPr>
          <w:p w14:paraId="603AC967"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 </w:t>
            </w:r>
          </w:p>
        </w:tc>
        <w:tc>
          <w:tcPr>
            <w:tcW w:w="1816" w:type="dxa"/>
            <w:tcBorders>
              <w:bottom w:val="dotted" w:sz="6" w:space="0" w:color="E9E6E6"/>
            </w:tcBorders>
            <w:tcMar>
              <w:top w:w="72" w:type="dxa"/>
              <w:left w:w="30" w:type="dxa"/>
              <w:bottom w:w="72" w:type="dxa"/>
              <w:right w:w="30" w:type="dxa"/>
            </w:tcMar>
            <w:hideMark/>
          </w:tcPr>
          <w:p w14:paraId="4A4D5513"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(Level)</w:t>
            </w:r>
          </w:p>
        </w:tc>
        <w:tc>
          <w:tcPr>
            <w:tcW w:w="1816" w:type="dxa"/>
            <w:tcBorders>
              <w:bottom w:val="dotted" w:sz="6" w:space="0" w:color="E9E6E6"/>
            </w:tcBorders>
            <w:tcMar>
              <w:top w:w="72" w:type="dxa"/>
              <w:left w:w="30" w:type="dxa"/>
              <w:bottom w:w="72" w:type="dxa"/>
              <w:right w:w="30" w:type="dxa"/>
            </w:tcMar>
            <w:hideMark/>
          </w:tcPr>
          <w:p w14:paraId="13C59FE2"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Brighton And Hove</w:t>
            </w:r>
            <w:r w:rsidRPr="00EE05AA">
              <w:rPr>
                <w:rFonts w:asciiTheme="majorHAnsi" w:hAnsiTheme="majorHAnsi"/>
                <w:b/>
                <w:bCs/>
                <w:color w:val="333333"/>
              </w:rPr>
              <w:br/>
              <w:t>(%)</w:t>
            </w:r>
          </w:p>
        </w:tc>
        <w:tc>
          <w:tcPr>
            <w:tcW w:w="1816" w:type="dxa"/>
            <w:tcBorders>
              <w:bottom w:val="dotted" w:sz="6" w:space="0" w:color="E9E6E6"/>
            </w:tcBorders>
            <w:tcMar>
              <w:top w:w="72" w:type="dxa"/>
              <w:left w:w="30" w:type="dxa"/>
              <w:bottom w:w="72" w:type="dxa"/>
              <w:right w:w="30" w:type="dxa"/>
            </w:tcMar>
            <w:hideMark/>
          </w:tcPr>
          <w:p w14:paraId="1F935CBF"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South East</w:t>
            </w:r>
            <w:r w:rsidRPr="00EE05AA">
              <w:rPr>
                <w:rFonts w:asciiTheme="majorHAnsi" w:hAnsiTheme="majorHAnsi"/>
                <w:b/>
                <w:bCs/>
                <w:color w:val="333333"/>
              </w:rPr>
              <w:br/>
              <w:t>(%)</w:t>
            </w:r>
          </w:p>
        </w:tc>
        <w:tc>
          <w:tcPr>
            <w:tcW w:w="1812" w:type="dxa"/>
            <w:tcBorders>
              <w:bottom w:val="dotted" w:sz="6" w:space="0" w:color="E9E6E6"/>
            </w:tcBorders>
            <w:tcMar>
              <w:top w:w="72" w:type="dxa"/>
              <w:left w:w="30" w:type="dxa"/>
              <w:bottom w:w="72" w:type="dxa"/>
              <w:right w:w="30" w:type="dxa"/>
            </w:tcMar>
            <w:hideMark/>
          </w:tcPr>
          <w:p w14:paraId="7359D557" w14:textId="77777777" w:rsidR="00153816" w:rsidRPr="00EE05AA" w:rsidRDefault="00153816" w:rsidP="006B1E56">
            <w:pPr>
              <w:spacing w:before="15" w:after="15"/>
              <w:ind w:left="15" w:right="15"/>
              <w:jc w:val="right"/>
              <w:rPr>
                <w:rFonts w:asciiTheme="majorHAnsi" w:hAnsiTheme="majorHAnsi"/>
                <w:b/>
                <w:bCs/>
                <w:color w:val="333333"/>
              </w:rPr>
            </w:pPr>
            <w:r w:rsidRPr="00EE05AA">
              <w:rPr>
                <w:rFonts w:asciiTheme="majorHAnsi" w:hAnsiTheme="majorHAnsi"/>
                <w:b/>
                <w:bCs/>
                <w:color w:val="333333"/>
              </w:rPr>
              <w:t>Great Britain</w:t>
            </w:r>
            <w:r w:rsidRPr="00EE05AA">
              <w:rPr>
                <w:rFonts w:asciiTheme="majorHAnsi" w:hAnsiTheme="majorHAnsi"/>
                <w:b/>
                <w:bCs/>
                <w:color w:val="333333"/>
              </w:rPr>
              <w:br/>
              <w:t>(%)</w:t>
            </w:r>
          </w:p>
        </w:tc>
      </w:tr>
      <w:tr w:rsidR="00153816" w:rsidRPr="00EE05AA" w14:paraId="5CDE3347" w14:textId="77777777" w:rsidTr="006B1E56">
        <w:trPr>
          <w:trHeight w:val="223"/>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1B9BA8BF"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xml:space="preserve">NVQ4 And </w:t>
            </w:r>
            <w:proofErr w:type="gramStart"/>
            <w:r w:rsidRPr="00EE05AA">
              <w:rPr>
                <w:rFonts w:asciiTheme="majorHAnsi" w:hAnsiTheme="majorHAnsi"/>
                <w:color w:val="333333"/>
              </w:rPr>
              <w:t>Above</w:t>
            </w:r>
            <w:proofErr w:type="gramEnd"/>
          </w:p>
        </w:tc>
        <w:tc>
          <w:tcPr>
            <w:tcW w:w="0" w:type="auto"/>
            <w:tcBorders>
              <w:bottom w:val="dotted" w:sz="6" w:space="0" w:color="E9E6E6"/>
            </w:tcBorders>
            <w:tcMar>
              <w:top w:w="45" w:type="dxa"/>
              <w:left w:w="45" w:type="dxa"/>
              <w:bottom w:w="45" w:type="dxa"/>
              <w:right w:w="45" w:type="dxa"/>
            </w:tcMar>
            <w:vAlign w:val="center"/>
            <w:hideMark/>
          </w:tcPr>
          <w:p w14:paraId="3DA55A7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116,200</w:t>
            </w:r>
          </w:p>
        </w:tc>
        <w:tc>
          <w:tcPr>
            <w:tcW w:w="0" w:type="auto"/>
            <w:tcBorders>
              <w:bottom w:val="dotted" w:sz="6" w:space="0" w:color="E9E6E6"/>
            </w:tcBorders>
            <w:tcMar>
              <w:top w:w="45" w:type="dxa"/>
              <w:left w:w="45" w:type="dxa"/>
              <w:bottom w:w="45" w:type="dxa"/>
              <w:right w:w="45" w:type="dxa"/>
            </w:tcMar>
            <w:vAlign w:val="center"/>
            <w:hideMark/>
          </w:tcPr>
          <w:p w14:paraId="0B8D429B"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56.4</w:t>
            </w:r>
          </w:p>
        </w:tc>
        <w:tc>
          <w:tcPr>
            <w:tcW w:w="0" w:type="auto"/>
            <w:tcBorders>
              <w:bottom w:val="dotted" w:sz="6" w:space="0" w:color="E9E6E6"/>
            </w:tcBorders>
            <w:tcMar>
              <w:top w:w="45" w:type="dxa"/>
              <w:left w:w="45" w:type="dxa"/>
              <w:bottom w:w="45" w:type="dxa"/>
              <w:right w:w="45" w:type="dxa"/>
            </w:tcMar>
            <w:vAlign w:val="center"/>
            <w:hideMark/>
          </w:tcPr>
          <w:p w14:paraId="4540FBF1"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43.4</w:t>
            </w:r>
          </w:p>
        </w:tc>
        <w:tc>
          <w:tcPr>
            <w:tcW w:w="0" w:type="auto"/>
            <w:tcBorders>
              <w:bottom w:val="dotted" w:sz="6" w:space="0" w:color="E9E6E6"/>
            </w:tcBorders>
            <w:tcMar>
              <w:top w:w="45" w:type="dxa"/>
              <w:left w:w="45" w:type="dxa"/>
              <w:bottom w:w="45" w:type="dxa"/>
              <w:right w:w="45" w:type="dxa"/>
            </w:tcMar>
            <w:vAlign w:val="center"/>
            <w:hideMark/>
          </w:tcPr>
          <w:p w14:paraId="690E18E7"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40.3</w:t>
            </w:r>
          </w:p>
        </w:tc>
      </w:tr>
      <w:tr w:rsidR="00153816" w:rsidRPr="00EE05AA" w14:paraId="33330358" w14:textId="77777777" w:rsidTr="006B1E56">
        <w:trPr>
          <w:trHeight w:val="223"/>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53621112"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xml:space="preserve">NVQ3 And </w:t>
            </w:r>
            <w:proofErr w:type="gramStart"/>
            <w:r w:rsidRPr="00EE05AA">
              <w:rPr>
                <w:rFonts w:asciiTheme="majorHAnsi" w:hAnsiTheme="majorHAnsi"/>
                <w:color w:val="333333"/>
              </w:rPr>
              <w:t>Above</w:t>
            </w:r>
            <w:proofErr w:type="gramEnd"/>
          </w:p>
        </w:tc>
        <w:tc>
          <w:tcPr>
            <w:tcW w:w="0" w:type="auto"/>
            <w:tcBorders>
              <w:bottom w:val="dotted" w:sz="6" w:space="0" w:color="E9E6E6"/>
            </w:tcBorders>
            <w:tcMar>
              <w:top w:w="45" w:type="dxa"/>
              <w:left w:w="45" w:type="dxa"/>
              <w:bottom w:w="45" w:type="dxa"/>
              <w:right w:w="45" w:type="dxa"/>
            </w:tcMar>
            <w:vAlign w:val="center"/>
            <w:hideMark/>
          </w:tcPr>
          <w:p w14:paraId="7435B70D"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157,000</w:t>
            </w:r>
          </w:p>
        </w:tc>
        <w:tc>
          <w:tcPr>
            <w:tcW w:w="0" w:type="auto"/>
            <w:tcBorders>
              <w:bottom w:val="dotted" w:sz="6" w:space="0" w:color="E9E6E6"/>
            </w:tcBorders>
            <w:tcMar>
              <w:top w:w="45" w:type="dxa"/>
              <w:left w:w="45" w:type="dxa"/>
              <w:bottom w:w="45" w:type="dxa"/>
              <w:right w:w="45" w:type="dxa"/>
            </w:tcMar>
            <w:vAlign w:val="center"/>
            <w:hideMark/>
          </w:tcPr>
          <w:p w14:paraId="4BBC73EB"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76.3</w:t>
            </w:r>
          </w:p>
        </w:tc>
        <w:tc>
          <w:tcPr>
            <w:tcW w:w="0" w:type="auto"/>
            <w:tcBorders>
              <w:bottom w:val="dotted" w:sz="6" w:space="0" w:color="E9E6E6"/>
            </w:tcBorders>
            <w:tcMar>
              <w:top w:w="45" w:type="dxa"/>
              <w:left w:w="45" w:type="dxa"/>
              <w:bottom w:w="45" w:type="dxa"/>
              <w:right w:w="45" w:type="dxa"/>
            </w:tcMar>
            <w:vAlign w:val="center"/>
            <w:hideMark/>
          </w:tcPr>
          <w:p w14:paraId="17B7E480"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62.1</w:t>
            </w:r>
          </w:p>
        </w:tc>
        <w:tc>
          <w:tcPr>
            <w:tcW w:w="0" w:type="auto"/>
            <w:tcBorders>
              <w:bottom w:val="dotted" w:sz="6" w:space="0" w:color="E9E6E6"/>
            </w:tcBorders>
            <w:tcMar>
              <w:top w:w="45" w:type="dxa"/>
              <w:left w:w="45" w:type="dxa"/>
              <w:bottom w:w="45" w:type="dxa"/>
              <w:right w:w="45" w:type="dxa"/>
            </w:tcMar>
            <w:vAlign w:val="center"/>
            <w:hideMark/>
          </w:tcPr>
          <w:p w14:paraId="04C5CC15"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58.5</w:t>
            </w:r>
          </w:p>
        </w:tc>
      </w:tr>
      <w:tr w:rsidR="00153816" w:rsidRPr="00EE05AA" w14:paraId="4760853B" w14:textId="77777777" w:rsidTr="006B1E56">
        <w:trPr>
          <w:trHeight w:val="223"/>
          <w:tblCellSpacing w:w="15" w:type="dxa"/>
        </w:trPr>
        <w:tc>
          <w:tcPr>
            <w:tcW w:w="0" w:type="auto"/>
            <w:tcBorders>
              <w:bottom w:val="dotted" w:sz="6" w:space="0" w:color="E9E6E6"/>
            </w:tcBorders>
            <w:noWrap/>
            <w:tcMar>
              <w:top w:w="72" w:type="dxa"/>
              <w:left w:w="0" w:type="dxa"/>
              <w:bottom w:w="72" w:type="dxa"/>
              <w:right w:w="0" w:type="dxa"/>
            </w:tcMar>
            <w:vAlign w:val="center"/>
            <w:hideMark/>
          </w:tcPr>
          <w:p w14:paraId="471405E9" w14:textId="77777777" w:rsidR="00153816" w:rsidRPr="00EE05AA" w:rsidRDefault="00153816" w:rsidP="006B1E56">
            <w:pPr>
              <w:rPr>
                <w:rFonts w:asciiTheme="majorHAnsi" w:hAnsiTheme="majorHAnsi"/>
                <w:color w:val="333333"/>
              </w:rPr>
            </w:pPr>
            <w:r w:rsidRPr="00EE05AA">
              <w:rPr>
                <w:rFonts w:asciiTheme="majorHAnsi" w:hAnsiTheme="majorHAnsi"/>
                <w:color w:val="333333"/>
              </w:rPr>
              <w:t xml:space="preserve">NVQ2 And </w:t>
            </w:r>
            <w:proofErr w:type="gramStart"/>
            <w:r w:rsidRPr="00EE05AA">
              <w:rPr>
                <w:rFonts w:asciiTheme="majorHAnsi" w:hAnsiTheme="majorHAnsi"/>
                <w:color w:val="333333"/>
              </w:rPr>
              <w:t>Above</w:t>
            </w:r>
            <w:proofErr w:type="gramEnd"/>
          </w:p>
        </w:tc>
        <w:tc>
          <w:tcPr>
            <w:tcW w:w="0" w:type="auto"/>
            <w:tcBorders>
              <w:bottom w:val="dotted" w:sz="6" w:space="0" w:color="E9E6E6"/>
            </w:tcBorders>
            <w:tcMar>
              <w:top w:w="45" w:type="dxa"/>
              <w:left w:w="45" w:type="dxa"/>
              <w:bottom w:w="45" w:type="dxa"/>
              <w:right w:w="45" w:type="dxa"/>
            </w:tcMar>
            <w:vAlign w:val="center"/>
            <w:hideMark/>
          </w:tcPr>
          <w:p w14:paraId="6633854C"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177,700</w:t>
            </w:r>
          </w:p>
        </w:tc>
        <w:tc>
          <w:tcPr>
            <w:tcW w:w="0" w:type="auto"/>
            <w:tcBorders>
              <w:bottom w:val="dotted" w:sz="6" w:space="0" w:color="E9E6E6"/>
            </w:tcBorders>
            <w:tcMar>
              <w:top w:w="45" w:type="dxa"/>
              <w:left w:w="45" w:type="dxa"/>
              <w:bottom w:w="45" w:type="dxa"/>
              <w:right w:w="45" w:type="dxa"/>
            </w:tcMar>
            <w:vAlign w:val="center"/>
            <w:hideMark/>
          </w:tcPr>
          <w:p w14:paraId="618DA3A7" w14:textId="77777777" w:rsidR="00153816" w:rsidRPr="00EE05AA" w:rsidRDefault="00153816" w:rsidP="006B1E56">
            <w:pPr>
              <w:jc w:val="right"/>
              <w:rPr>
                <w:rFonts w:asciiTheme="majorHAnsi" w:hAnsiTheme="majorHAnsi"/>
                <w:color w:val="FF0000"/>
              </w:rPr>
            </w:pPr>
            <w:r w:rsidRPr="00EE05AA">
              <w:rPr>
                <w:rFonts w:asciiTheme="majorHAnsi" w:hAnsiTheme="majorHAnsi"/>
                <w:color w:val="FF0000"/>
              </w:rPr>
              <w:t>86.3</w:t>
            </w:r>
          </w:p>
        </w:tc>
        <w:tc>
          <w:tcPr>
            <w:tcW w:w="0" w:type="auto"/>
            <w:tcBorders>
              <w:bottom w:val="dotted" w:sz="6" w:space="0" w:color="E9E6E6"/>
            </w:tcBorders>
            <w:tcMar>
              <w:top w:w="45" w:type="dxa"/>
              <w:left w:w="45" w:type="dxa"/>
              <w:bottom w:w="45" w:type="dxa"/>
              <w:right w:w="45" w:type="dxa"/>
            </w:tcMar>
            <w:vAlign w:val="center"/>
            <w:hideMark/>
          </w:tcPr>
          <w:p w14:paraId="11CC1EDA"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79.1</w:t>
            </w:r>
          </w:p>
        </w:tc>
        <w:tc>
          <w:tcPr>
            <w:tcW w:w="0" w:type="auto"/>
            <w:tcBorders>
              <w:bottom w:val="dotted" w:sz="6" w:space="0" w:color="E9E6E6"/>
            </w:tcBorders>
            <w:tcMar>
              <w:top w:w="45" w:type="dxa"/>
              <w:left w:w="45" w:type="dxa"/>
              <w:bottom w:w="45" w:type="dxa"/>
              <w:right w:w="45" w:type="dxa"/>
            </w:tcMar>
            <w:vAlign w:val="center"/>
            <w:hideMark/>
          </w:tcPr>
          <w:p w14:paraId="5EC85B39" w14:textId="77777777" w:rsidR="00153816" w:rsidRPr="00EE05AA" w:rsidRDefault="00153816" w:rsidP="006B1E56">
            <w:pPr>
              <w:jc w:val="right"/>
              <w:rPr>
                <w:rFonts w:asciiTheme="majorHAnsi" w:hAnsiTheme="majorHAnsi"/>
                <w:color w:val="333333"/>
              </w:rPr>
            </w:pPr>
            <w:r w:rsidRPr="00EE05AA">
              <w:rPr>
                <w:rFonts w:asciiTheme="majorHAnsi" w:hAnsiTheme="majorHAnsi"/>
                <w:color w:val="333333"/>
              </w:rPr>
              <w:t>75.6</w:t>
            </w:r>
          </w:p>
        </w:tc>
      </w:tr>
    </w:tbl>
    <w:p w14:paraId="5CE3F502" w14:textId="77777777" w:rsidR="00153816" w:rsidRPr="00EE05AA" w:rsidRDefault="00153816" w:rsidP="00153816">
      <w:pPr>
        <w:rPr>
          <w:rFonts w:asciiTheme="majorHAnsi" w:hAnsiTheme="majorHAnsi"/>
        </w:rPr>
      </w:pPr>
    </w:p>
    <w:p w14:paraId="303B3FFE"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The table above suggests that more local residents have attained at each level of academic study than us the case nationally as well as in the local region. In addition, the table below illustrates the gradual improvements made to the percentage of young people reaching level two academic qualifications, including Maths and English.  This represents the population as a whole and thus may present additional challenges and feelings of exclusion for those groups not achieving academically at this level. </w:t>
      </w:r>
    </w:p>
    <w:p w14:paraId="6C12CD2F" w14:textId="4D3AB344" w:rsidR="0080697E" w:rsidRDefault="0080697E">
      <w:pPr>
        <w:rPr>
          <w:rFonts w:asciiTheme="majorHAnsi" w:eastAsia="Arial" w:hAnsiTheme="majorHAnsi" w:cs="Arial"/>
        </w:rPr>
      </w:pPr>
      <w:r>
        <w:rPr>
          <w:rFonts w:asciiTheme="majorHAnsi" w:hAnsiTheme="majorHAnsi"/>
        </w:rPr>
        <w:br w:type="page"/>
      </w:r>
    </w:p>
    <w:p w14:paraId="5FFC1D0A" w14:textId="77777777" w:rsidR="00153816" w:rsidRPr="00D74B76" w:rsidRDefault="00153816" w:rsidP="00153816">
      <w:pPr>
        <w:pStyle w:val="BodyText"/>
        <w:rPr>
          <w:rFonts w:asciiTheme="majorHAnsi" w:hAnsiTheme="majorHAnsi"/>
          <w:sz w:val="24"/>
          <w:szCs w:val="24"/>
        </w:rPr>
      </w:pPr>
    </w:p>
    <w:p w14:paraId="76C6852A" w14:textId="77777777" w:rsidR="0080697E" w:rsidRDefault="0080697E" w:rsidP="00153816">
      <w:pPr>
        <w:pStyle w:val="Heading2"/>
        <w:rPr>
          <w:b/>
          <w:bCs/>
          <w:color w:val="000000" w:themeColor="text1"/>
          <w:sz w:val="24"/>
          <w:szCs w:val="24"/>
        </w:rPr>
      </w:pPr>
    </w:p>
    <w:p w14:paraId="5C0D0422" w14:textId="77777777" w:rsidR="0080697E" w:rsidRDefault="0080697E" w:rsidP="00153816">
      <w:pPr>
        <w:pStyle w:val="Heading2"/>
        <w:rPr>
          <w:b/>
          <w:bCs/>
          <w:color w:val="000000" w:themeColor="text1"/>
          <w:sz w:val="24"/>
          <w:szCs w:val="24"/>
        </w:rPr>
      </w:pPr>
    </w:p>
    <w:p w14:paraId="28568314" w14:textId="011AFBDB" w:rsidR="00153816" w:rsidRDefault="00153816" w:rsidP="00153816">
      <w:pPr>
        <w:pStyle w:val="Heading2"/>
        <w:rPr>
          <w:b/>
          <w:bCs/>
          <w:color w:val="000000" w:themeColor="text1"/>
          <w:sz w:val="24"/>
          <w:szCs w:val="24"/>
        </w:rPr>
      </w:pPr>
      <w:r w:rsidRPr="00D74B76">
        <w:rPr>
          <w:b/>
          <w:bCs/>
          <w:color w:val="000000" w:themeColor="text1"/>
          <w:sz w:val="24"/>
          <w:szCs w:val="24"/>
        </w:rPr>
        <w:t xml:space="preserve">Percentage of </w:t>
      </w:r>
      <w:proofErr w:type="gramStart"/>
      <w:r w:rsidRPr="00D74B76">
        <w:rPr>
          <w:b/>
          <w:bCs/>
          <w:color w:val="000000" w:themeColor="text1"/>
          <w:sz w:val="24"/>
          <w:szCs w:val="24"/>
        </w:rPr>
        <w:t>19-year olds</w:t>
      </w:r>
      <w:proofErr w:type="gramEnd"/>
      <w:r w:rsidRPr="00D74B76">
        <w:rPr>
          <w:b/>
          <w:bCs/>
          <w:color w:val="000000" w:themeColor="text1"/>
          <w:sz w:val="24"/>
          <w:szCs w:val="24"/>
        </w:rPr>
        <w:t xml:space="preserve"> qualified to level 2 including English and Maths (from 2013/14 (academic) to 2018/19 (academic)) for Brighton and Hove:</w:t>
      </w:r>
    </w:p>
    <w:p w14:paraId="19EF6B9D" w14:textId="77777777" w:rsidR="00153816" w:rsidRPr="00D74B76" w:rsidRDefault="00153816" w:rsidP="00153816"/>
    <w:tbl>
      <w:tblPr>
        <w:tblW w:w="264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062"/>
        <w:gridCol w:w="871"/>
        <w:gridCol w:w="1081"/>
        <w:gridCol w:w="1081"/>
        <w:gridCol w:w="1081"/>
      </w:tblGrid>
      <w:tr w:rsidR="00153816" w:rsidRPr="00EE05AA" w14:paraId="4BCDB7F6" w14:textId="77777777" w:rsidTr="006B1E56">
        <w:trPr>
          <w:trHeight w:val="192"/>
        </w:trPr>
        <w:tc>
          <w:tcPr>
            <w:tcW w:w="0" w:type="auto"/>
            <w:shd w:val="clear" w:color="auto" w:fill="D9D9D9"/>
          </w:tcPr>
          <w:p w14:paraId="1100153E"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4B3BAFA2"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37" w:history="1">
              <w:r w:rsidRPr="00EE05AA">
                <w:rPr>
                  <w:rStyle w:val="Hyperlink"/>
                  <w:rFonts w:asciiTheme="majorHAnsi" w:hAnsiTheme="majorHAnsi"/>
                  <w:sz w:val="22"/>
                  <w:szCs w:val="22"/>
                </w:rPr>
                <w:t xml:space="preserve">% </w:t>
              </w:r>
              <w:proofErr w:type="gramStart"/>
              <w:r w:rsidRPr="00EE05AA">
                <w:rPr>
                  <w:rStyle w:val="Hyperlink"/>
                  <w:rFonts w:asciiTheme="majorHAnsi" w:hAnsiTheme="majorHAnsi"/>
                  <w:sz w:val="22"/>
                  <w:szCs w:val="22"/>
                </w:rPr>
                <w:t>19 year olds</w:t>
              </w:r>
              <w:proofErr w:type="gramEnd"/>
              <w:r w:rsidRPr="00EE05AA">
                <w:rPr>
                  <w:rStyle w:val="Hyperlink"/>
                  <w:rFonts w:asciiTheme="majorHAnsi" w:hAnsiTheme="majorHAnsi"/>
                  <w:sz w:val="22"/>
                  <w:szCs w:val="22"/>
                </w:rPr>
                <w:t xml:space="preserve"> qualified to level 2 including English and Maths </w:t>
              </w:r>
            </w:hyperlink>
          </w:p>
        </w:tc>
      </w:tr>
      <w:tr w:rsidR="00153816" w:rsidRPr="00EE05AA" w14:paraId="2874E19E" w14:textId="77777777" w:rsidTr="006B1E56">
        <w:trPr>
          <w:trHeight w:val="171"/>
        </w:trPr>
        <w:tc>
          <w:tcPr>
            <w:tcW w:w="0" w:type="auto"/>
            <w:shd w:val="clear" w:color="auto" w:fill="D9D9D9"/>
          </w:tcPr>
          <w:p w14:paraId="2E17379A"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4BBCE39D"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w:t>
            </w:r>
          </w:p>
        </w:tc>
      </w:tr>
      <w:tr w:rsidR="00153816" w:rsidRPr="00EE05AA" w14:paraId="368BB133" w14:textId="77777777" w:rsidTr="006B1E56">
        <w:trPr>
          <w:trHeight w:val="192"/>
        </w:trPr>
        <w:tc>
          <w:tcPr>
            <w:tcW w:w="0" w:type="auto"/>
            <w:shd w:val="clear" w:color="auto" w:fill="D9D9D9"/>
          </w:tcPr>
          <w:p w14:paraId="27002D3C"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4CD43189"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037D2D57"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0" w:type="auto"/>
            <w:shd w:val="clear" w:color="auto" w:fill="D9D9D9"/>
          </w:tcPr>
          <w:p w14:paraId="74410A8A"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0" w:type="auto"/>
            <w:shd w:val="clear" w:color="auto" w:fill="D9D9D9"/>
          </w:tcPr>
          <w:p w14:paraId="7E3E4937"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51DEAFFB" w14:textId="77777777" w:rsidTr="006B1E56">
        <w:trPr>
          <w:trHeight w:val="192"/>
        </w:trPr>
        <w:tc>
          <w:tcPr>
            <w:tcW w:w="0" w:type="auto"/>
          </w:tcPr>
          <w:p w14:paraId="2819D2D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 (academic)</w:t>
            </w:r>
          </w:p>
        </w:tc>
        <w:tc>
          <w:tcPr>
            <w:tcW w:w="0" w:type="auto"/>
          </w:tcPr>
          <w:p w14:paraId="01BB19E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38" w:history="1">
              <w:r w:rsidRPr="00EE05AA">
                <w:rPr>
                  <w:rStyle w:val="Hyperlink"/>
                  <w:rFonts w:asciiTheme="majorHAnsi" w:hAnsiTheme="majorHAnsi"/>
                  <w:sz w:val="22"/>
                  <w:szCs w:val="22"/>
                </w:rPr>
                <w:t xml:space="preserve">61.9 </w:t>
              </w:r>
            </w:hyperlink>
          </w:p>
        </w:tc>
        <w:tc>
          <w:tcPr>
            <w:tcW w:w="0" w:type="auto"/>
          </w:tcPr>
          <w:p w14:paraId="01DCFCC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52.6</w:t>
            </w:r>
          </w:p>
        </w:tc>
        <w:tc>
          <w:tcPr>
            <w:tcW w:w="0" w:type="auto"/>
          </w:tcPr>
          <w:p w14:paraId="15D8F8B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65.6</w:t>
            </w:r>
          </w:p>
        </w:tc>
        <w:tc>
          <w:tcPr>
            <w:tcW w:w="0" w:type="auto"/>
          </w:tcPr>
          <w:p w14:paraId="3FCA605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79.1</w:t>
            </w:r>
          </w:p>
        </w:tc>
      </w:tr>
      <w:tr w:rsidR="00153816" w:rsidRPr="00EE05AA" w14:paraId="57333588" w14:textId="77777777" w:rsidTr="006B1E56">
        <w:trPr>
          <w:trHeight w:val="171"/>
        </w:trPr>
        <w:tc>
          <w:tcPr>
            <w:tcW w:w="0" w:type="auto"/>
          </w:tcPr>
          <w:p w14:paraId="671217A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 (academic)</w:t>
            </w:r>
          </w:p>
        </w:tc>
        <w:tc>
          <w:tcPr>
            <w:tcW w:w="0" w:type="auto"/>
          </w:tcPr>
          <w:p w14:paraId="3C22825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39" w:history="1">
              <w:r w:rsidRPr="00EE05AA">
                <w:rPr>
                  <w:rStyle w:val="Hyperlink"/>
                  <w:rFonts w:asciiTheme="majorHAnsi" w:hAnsiTheme="majorHAnsi"/>
                  <w:sz w:val="22"/>
                  <w:szCs w:val="22"/>
                </w:rPr>
                <w:t xml:space="preserve">66.0 </w:t>
              </w:r>
            </w:hyperlink>
          </w:p>
        </w:tc>
        <w:tc>
          <w:tcPr>
            <w:tcW w:w="0" w:type="auto"/>
          </w:tcPr>
          <w:p w14:paraId="12EE21B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51.1</w:t>
            </w:r>
          </w:p>
        </w:tc>
        <w:tc>
          <w:tcPr>
            <w:tcW w:w="0" w:type="auto"/>
          </w:tcPr>
          <w:p w14:paraId="548F229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67.8</w:t>
            </w:r>
          </w:p>
        </w:tc>
        <w:tc>
          <w:tcPr>
            <w:tcW w:w="0" w:type="auto"/>
          </w:tcPr>
          <w:p w14:paraId="123004C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86.4</w:t>
            </w:r>
          </w:p>
        </w:tc>
      </w:tr>
      <w:tr w:rsidR="00153816" w:rsidRPr="00EE05AA" w14:paraId="7CE5B392" w14:textId="77777777" w:rsidTr="006B1E56">
        <w:trPr>
          <w:trHeight w:val="192"/>
        </w:trPr>
        <w:tc>
          <w:tcPr>
            <w:tcW w:w="0" w:type="auto"/>
          </w:tcPr>
          <w:p w14:paraId="62997EF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 (academic)</w:t>
            </w:r>
          </w:p>
        </w:tc>
        <w:tc>
          <w:tcPr>
            <w:tcW w:w="0" w:type="auto"/>
          </w:tcPr>
          <w:p w14:paraId="35A7C9E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40" w:history="1">
              <w:r w:rsidRPr="00EE05AA">
                <w:rPr>
                  <w:rStyle w:val="Hyperlink"/>
                  <w:rFonts w:asciiTheme="majorHAnsi" w:hAnsiTheme="majorHAnsi"/>
                  <w:sz w:val="22"/>
                  <w:szCs w:val="22"/>
                </w:rPr>
                <w:t xml:space="preserve">69.4 </w:t>
              </w:r>
            </w:hyperlink>
          </w:p>
        </w:tc>
        <w:tc>
          <w:tcPr>
            <w:tcW w:w="0" w:type="auto"/>
          </w:tcPr>
          <w:p w14:paraId="00F9816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51.7</w:t>
            </w:r>
          </w:p>
        </w:tc>
        <w:tc>
          <w:tcPr>
            <w:tcW w:w="0" w:type="auto"/>
          </w:tcPr>
          <w:p w14:paraId="7EE6282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68.6</w:t>
            </w:r>
          </w:p>
        </w:tc>
        <w:tc>
          <w:tcPr>
            <w:tcW w:w="0" w:type="auto"/>
          </w:tcPr>
          <w:p w14:paraId="5E9E606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85.7</w:t>
            </w:r>
          </w:p>
        </w:tc>
      </w:tr>
      <w:tr w:rsidR="00153816" w:rsidRPr="00EE05AA" w14:paraId="1EA54CD2" w14:textId="77777777" w:rsidTr="006B1E56">
        <w:trPr>
          <w:trHeight w:val="192"/>
        </w:trPr>
        <w:tc>
          <w:tcPr>
            <w:tcW w:w="0" w:type="auto"/>
          </w:tcPr>
          <w:p w14:paraId="1326EBE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 (academic)</w:t>
            </w:r>
          </w:p>
        </w:tc>
        <w:tc>
          <w:tcPr>
            <w:tcW w:w="0" w:type="auto"/>
          </w:tcPr>
          <w:p w14:paraId="57353DD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41" w:history="1">
              <w:r w:rsidRPr="00EE05AA">
                <w:rPr>
                  <w:rStyle w:val="Hyperlink"/>
                  <w:rFonts w:asciiTheme="majorHAnsi" w:hAnsiTheme="majorHAnsi"/>
                  <w:sz w:val="22"/>
                  <w:szCs w:val="22"/>
                </w:rPr>
                <w:t xml:space="preserve">68.1 </w:t>
              </w:r>
            </w:hyperlink>
          </w:p>
        </w:tc>
        <w:tc>
          <w:tcPr>
            <w:tcW w:w="0" w:type="auto"/>
          </w:tcPr>
          <w:p w14:paraId="3092F03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48.9</w:t>
            </w:r>
          </w:p>
        </w:tc>
        <w:tc>
          <w:tcPr>
            <w:tcW w:w="0" w:type="auto"/>
          </w:tcPr>
          <w:p w14:paraId="10158EC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68.5</w:t>
            </w:r>
          </w:p>
        </w:tc>
        <w:tc>
          <w:tcPr>
            <w:tcW w:w="0" w:type="auto"/>
          </w:tcPr>
          <w:p w14:paraId="2612146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81.3</w:t>
            </w:r>
          </w:p>
        </w:tc>
      </w:tr>
      <w:tr w:rsidR="00153816" w:rsidRPr="00EE05AA" w14:paraId="2E57EF02" w14:textId="77777777" w:rsidTr="006B1E56">
        <w:trPr>
          <w:trHeight w:val="171"/>
        </w:trPr>
        <w:tc>
          <w:tcPr>
            <w:tcW w:w="0" w:type="auto"/>
          </w:tcPr>
          <w:p w14:paraId="4680DDD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 (academic)</w:t>
            </w:r>
          </w:p>
        </w:tc>
        <w:tc>
          <w:tcPr>
            <w:tcW w:w="0" w:type="auto"/>
          </w:tcPr>
          <w:p w14:paraId="58CC75B9"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42" w:history="1">
              <w:r w:rsidRPr="00EE05AA">
                <w:rPr>
                  <w:rStyle w:val="Hyperlink"/>
                  <w:rFonts w:asciiTheme="majorHAnsi" w:hAnsiTheme="majorHAnsi"/>
                  <w:color w:val="FF0000"/>
                  <w:sz w:val="22"/>
                  <w:szCs w:val="22"/>
                </w:rPr>
                <w:t xml:space="preserve">71.4 </w:t>
              </w:r>
            </w:hyperlink>
          </w:p>
        </w:tc>
        <w:tc>
          <w:tcPr>
            <w:tcW w:w="0" w:type="auto"/>
          </w:tcPr>
          <w:p w14:paraId="36CD1F8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49.6</w:t>
            </w:r>
          </w:p>
        </w:tc>
        <w:tc>
          <w:tcPr>
            <w:tcW w:w="0" w:type="auto"/>
          </w:tcPr>
          <w:p w14:paraId="763EAE3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68.1</w:t>
            </w:r>
          </w:p>
        </w:tc>
        <w:tc>
          <w:tcPr>
            <w:tcW w:w="0" w:type="auto"/>
          </w:tcPr>
          <w:p w14:paraId="5DAF6F9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81.4</w:t>
            </w:r>
          </w:p>
        </w:tc>
      </w:tr>
      <w:tr w:rsidR="00153816" w:rsidRPr="00EE05AA" w14:paraId="30F1BC3C" w14:textId="77777777" w:rsidTr="006B1E56">
        <w:trPr>
          <w:trHeight w:val="192"/>
        </w:trPr>
        <w:tc>
          <w:tcPr>
            <w:tcW w:w="0" w:type="auto"/>
          </w:tcPr>
          <w:p w14:paraId="7E78F7B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 (academic)</w:t>
            </w:r>
          </w:p>
        </w:tc>
        <w:tc>
          <w:tcPr>
            <w:tcW w:w="0" w:type="auto"/>
          </w:tcPr>
          <w:p w14:paraId="01C32496" w14:textId="77777777" w:rsidR="00153816" w:rsidRPr="00EE05AA" w:rsidRDefault="00153816" w:rsidP="006B1E56">
            <w:pPr>
              <w:pStyle w:val="BodyText"/>
              <w:keepNext/>
              <w:rPr>
                <w:rFonts w:asciiTheme="majorHAnsi" w:hAnsiTheme="majorHAnsi"/>
                <w:color w:val="FF0000"/>
                <w:sz w:val="22"/>
                <w:szCs w:val="22"/>
              </w:rPr>
            </w:pPr>
            <w:r w:rsidRPr="00EE05AA">
              <w:rPr>
                <w:rFonts w:asciiTheme="majorHAnsi" w:hAnsiTheme="majorHAnsi"/>
                <w:color w:val="FF0000"/>
                <w:sz w:val="22"/>
                <w:szCs w:val="22"/>
              </w:rPr>
              <w:t xml:space="preserve"> </w:t>
            </w:r>
            <w:hyperlink r:id="rId43" w:history="1">
              <w:r w:rsidRPr="00EE05AA">
                <w:rPr>
                  <w:rStyle w:val="Hyperlink"/>
                  <w:rFonts w:asciiTheme="majorHAnsi" w:hAnsiTheme="majorHAnsi"/>
                  <w:color w:val="FF0000"/>
                  <w:sz w:val="22"/>
                  <w:szCs w:val="22"/>
                </w:rPr>
                <w:t xml:space="preserve">70.2 </w:t>
              </w:r>
            </w:hyperlink>
          </w:p>
        </w:tc>
        <w:tc>
          <w:tcPr>
            <w:tcW w:w="0" w:type="auto"/>
          </w:tcPr>
          <w:p w14:paraId="365F358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48.5</w:t>
            </w:r>
          </w:p>
        </w:tc>
        <w:tc>
          <w:tcPr>
            <w:tcW w:w="0" w:type="auto"/>
          </w:tcPr>
          <w:p w14:paraId="7D956E3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68.4</w:t>
            </w:r>
          </w:p>
        </w:tc>
        <w:tc>
          <w:tcPr>
            <w:tcW w:w="0" w:type="auto"/>
          </w:tcPr>
          <w:p w14:paraId="68B2DDB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82.5</w:t>
            </w:r>
          </w:p>
        </w:tc>
      </w:tr>
    </w:tbl>
    <w:p w14:paraId="44CF0717" w14:textId="77777777" w:rsidR="00153816" w:rsidRPr="00EE05AA" w:rsidRDefault="00153816" w:rsidP="00153816">
      <w:pPr>
        <w:rPr>
          <w:rFonts w:asciiTheme="majorHAnsi" w:hAnsiTheme="majorHAnsi"/>
        </w:rPr>
      </w:pPr>
    </w:p>
    <w:p w14:paraId="554FC729" w14:textId="77777777" w:rsidR="00153816" w:rsidRPr="00EE05AA" w:rsidRDefault="00153816" w:rsidP="00153816">
      <w:pPr>
        <w:rPr>
          <w:rFonts w:asciiTheme="majorHAnsi" w:hAnsiTheme="majorHAnsi"/>
        </w:rPr>
      </w:pPr>
    </w:p>
    <w:p w14:paraId="481064F1" w14:textId="77777777" w:rsidR="0080697E" w:rsidRDefault="0080697E" w:rsidP="00153816">
      <w:pPr>
        <w:spacing w:line="360" w:lineRule="auto"/>
        <w:rPr>
          <w:rFonts w:asciiTheme="majorHAnsi" w:hAnsiTheme="majorHAnsi"/>
        </w:rPr>
      </w:pPr>
    </w:p>
    <w:p w14:paraId="0B562C19" w14:textId="77777777" w:rsidR="0080697E" w:rsidRDefault="0080697E" w:rsidP="00153816">
      <w:pPr>
        <w:spacing w:line="360" w:lineRule="auto"/>
        <w:rPr>
          <w:rFonts w:asciiTheme="majorHAnsi" w:hAnsiTheme="majorHAnsi"/>
        </w:rPr>
      </w:pPr>
    </w:p>
    <w:p w14:paraId="3B8805F9" w14:textId="77777777" w:rsidR="0080697E" w:rsidRDefault="0080697E" w:rsidP="00153816">
      <w:pPr>
        <w:spacing w:line="360" w:lineRule="auto"/>
        <w:rPr>
          <w:rFonts w:asciiTheme="majorHAnsi" w:hAnsiTheme="majorHAnsi"/>
        </w:rPr>
      </w:pPr>
    </w:p>
    <w:p w14:paraId="52FC04ED" w14:textId="77777777" w:rsidR="0080697E" w:rsidRDefault="0080697E" w:rsidP="00153816">
      <w:pPr>
        <w:spacing w:line="360" w:lineRule="auto"/>
        <w:rPr>
          <w:rFonts w:asciiTheme="majorHAnsi" w:hAnsiTheme="majorHAnsi"/>
        </w:rPr>
      </w:pPr>
    </w:p>
    <w:p w14:paraId="5F6BD2F1" w14:textId="77777777" w:rsidR="0080697E" w:rsidRDefault="0080697E" w:rsidP="00153816">
      <w:pPr>
        <w:spacing w:line="360" w:lineRule="auto"/>
        <w:rPr>
          <w:rFonts w:asciiTheme="majorHAnsi" w:hAnsiTheme="majorHAnsi"/>
        </w:rPr>
      </w:pPr>
    </w:p>
    <w:p w14:paraId="742A6C08" w14:textId="77777777" w:rsidR="0080697E" w:rsidRDefault="0080697E" w:rsidP="00153816">
      <w:pPr>
        <w:spacing w:line="360" w:lineRule="auto"/>
        <w:rPr>
          <w:rFonts w:asciiTheme="majorHAnsi" w:hAnsiTheme="majorHAnsi"/>
        </w:rPr>
      </w:pPr>
    </w:p>
    <w:p w14:paraId="24F62102" w14:textId="77777777" w:rsidR="0080697E" w:rsidRDefault="0080697E" w:rsidP="00153816">
      <w:pPr>
        <w:spacing w:line="360" w:lineRule="auto"/>
        <w:rPr>
          <w:rFonts w:asciiTheme="majorHAnsi" w:hAnsiTheme="majorHAnsi"/>
        </w:rPr>
      </w:pPr>
    </w:p>
    <w:p w14:paraId="3A924139" w14:textId="77777777" w:rsidR="0080697E" w:rsidRDefault="0080697E" w:rsidP="00153816">
      <w:pPr>
        <w:spacing w:line="360" w:lineRule="auto"/>
        <w:rPr>
          <w:rFonts w:asciiTheme="majorHAnsi" w:hAnsiTheme="majorHAnsi"/>
        </w:rPr>
      </w:pPr>
    </w:p>
    <w:p w14:paraId="136ED699" w14:textId="77777777" w:rsidR="0080697E" w:rsidRDefault="0080697E" w:rsidP="00153816">
      <w:pPr>
        <w:spacing w:line="360" w:lineRule="auto"/>
        <w:rPr>
          <w:rFonts w:asciiTheme="majorHAnsi" w:hAnsiTheme="majorHAnsi"/>
        </w:rPr>
      </w:pPr>
    </w:p>
    <w:p w14:paraId="70984682" w14:textId="17DCF9FB" w:rsidR="00153816" w:rsidRPr="00D74B76" w:rsidRDefault="00153816" w:rsidP="00153816">
      <w:pPr>
        <w:spacing w:line="360" w:lineRule="auto"/>
        <w:rPr>
          <w:rFonts w:asciiTheme="majorHAnsi" w:hAnsiTheme="majorHAnsi"/>
        </w:rPr>
      </w:pPr>
      <w:r w:rsidRPr="00D74B76">
        <w:rPr>
          <w:rFonts w:asciiTheme="majorHAnsi" w:hAnsiTheme="majorHAnsi"/>
        </w:rPr>
        <w:t>The chart below appears to demonstrate a lowering of the levels of school exclusions within the local area over the last four years, against an almost static national level. This may go some way to reducing some of the inequalities in achievement referred to above.</w:t>
      </w:r>
    </w:p>
    <w:p w14:paraId="1B6E6373" w14:textId="77777777" w:rsidR="00153816" w:rsidRDefault="00153816" w:rsidP="00153816">
      <w:pPr>
        <w:rPr>
          <w:rFonts w:asciiTheme="majorHAnsi" w:hAnsiTheme="majorHAnsi"/>
          <w:b/>
          <w:bCs/>
        </w:rPr>
      </w:pPr>
    </w:p>
    <w:p w14:paraId="74EA0100" w14:textId="77777777" w:rsidR="00153816" w:rsidRPr="00D74B76" w:rsidRDefault="00153816" w:rsidP="00153816">
      <w:pPr>
        <w:rPr>
          <w:rFonts w:asciiTheme="majorHAnsi" w:hAnsiTheme="majorHAnsi"/>
          <w:b/>
          <w:bCs/>
        </w:rPr>
      </w:pPr>
      <w:r w:rsidRPr="00D74B76">
        <w:rPr>
          <w:rFonts w:asciiTheme="majorHAnsi" w:hAnsiTheme="majorHAnsi"/>
          <w:b/>
          <w:bCs/>
        </w:rPr>
        <w:t>School exclusions:</w:t>
      </w:r>
    </w:p>
    <w:p w14:paraId="50354F1D" w14:textId="77777777" w:rsidR="00153816" w:rsidRPr="00EE05AA" w:rsidRDefault="00153816" w:rsidP="00153816">
      <w:pPr>
        <w:rPr>
          <w:rFonts w:asciiTheme="majorHAnsi" w:hAnsiTheme="majorHAnsi"/>
        </w:rPr>
      </w:pPr>
    </w:p>
    <w:p w14:paraId="2828FDF4" w14:textId="77777777" w:rsidR="00153816" w:rsidRPr="00EE05AA" w:rsidRDefault="00153816" w:rsidP="00153816">
      <w:pPr>
        <w:rPr>
          <w:rFonts w:asciiTheme="majorHAnsi" w:hAnsiTheme="majorHAnsi"/>
        </w:rPr>
      </w:pPr>
      <w:r>
        <w:rPr>
          <w:noProof/>
        </w:rPr>
        <w:drawing>
          <wp:inline distT="0" distB="0" distL="0" distR="0" wp14:anchorId="6C9761D1" wp14:editId="06907488">
            <wp:extent cx="5164668" cy="4631061"/>
            <wp:effectExtent l="0" t="0" r="4445" b="444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64668" cy="4631061"/>
                    </a:xfrm>
                    <a:prstGeom prst="rect">
                      <a:avLst/>
                    </a:prstGeom>
                  </pic:spPr>
                </pic:pic>
              </a:graphicData>
            </a:graphic>
          </wp:inline>
        </w:drawing>
      </w:r>
    </w:p>
    <w:p w14:paraId="47A33B21" w14:textId="77777777" w:rsidR="00153816" w:rsidRPr="00EE05AA" w:rsidRDefault="00153816" w:rsidP="00153816">
      <w:pPr>
        <w:rPr>
          <w:rFonts w:asciiTheme="majorHAnsi" w:hAnsiTheme="majorHAnsi"/>
        </w:rPr>
      </w:pPr>
    </w:p>
    <w:p w14:paraId="5C203163" w14:textId="77777777" w:rsidR="00153816" w:rsidRDefault="00153816" w:rsidP="00153816">
      <w:pPr>
        <w:rPr>
          <w:rFonts w:asciiTheme="majorHAnsi" w:eastAsiaTheme="majorEastAsia" w:hAnsiTheme="majorHAnsi" w:cstheme="majorBidi"/>
          <w:b/>
          <w:bCs/>
          <w:color w:val="000000" w:themeColor="text1"/>
        </w:rPr>
      </w:pPr>
      <w:r>
        <w:rPr>
          <w:b/>
          <w:bCs/>
          <w:color w:val="000000" w:themeColor="text1"/>
        </w:rPr>
        <w:br w:type="page"/>
      </w:r>
    </w:p>
    <w:p w14:paraId="5A1378FB" w14:textId="77777777" w:rsidR="00153816" w:rsidRPr="00D74B76" w:rsidRDefault="00153816" w:rsidP="00153816">
      <w:pPr>
        <w:pStyle w:val="Heading2"/>
        <w:rPr>
          <w:b/>
          <w:bCs/>
          <w:color w:val="000000" w:themeColor="text1"/>
          <w:sz w:val="24"/>
          <w:szCs w:val="24"/>
        </w:rPr>
      </w:pPr>
      <w:r w:rsidRPr="00D74B76">
        <w:rPr>
          <w:b/>
          <w:bCs/>
          <w:color w:val="000000" w:themeColor="text1"/>
          <w:sz w:val="24"/>
          <w:szCs w:val="24"/>
        </w:rPr>
        <w:lastRenderedPageBreak/>
        <w:t>Achievement of a Level 3 qualification by the age of 19 (from 2013/14 (academic) to 2018/19 (academic)) for Brighton and Hove:</w:t>
      </w:r>
    </w:p>
    <w:p w14:paraId="3815231B" w14:textId="77777777" w:rsidR="00153816" w:rsidRPr="00EE05AA" w:rsidRDefault="00153816" w:rsidP="00153816">
      <w:pPr>
        <w:rPr>
          <w:rFonts w:asciiTheme="majorHAnsi" w:hAnsiTheme="majorHAnsi"/>
        </w:rPr>
      </w:pPr>
    </w:p>
    <w:tbl>
      <w:tblPr>
        <w:tblW w:w="3401"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182"/>
        <w:gridCol w:w="1008"/>
        <w:gridCol w:w="1417"/>
        <w:gridCol w:w="1362"/>
        <w:gridCol w:w="1422"/>
      </w:tblGrid>
      <w:tr w:rsidR="00153816" w:rsidRPr="00EE05AA" w14:paraId="00292D10" w14:textId="77777777" w:rsidTr="006B1E56">
        <w:trPr>
          <w:trHeight w:val="207"/>
        </w:trPr>
        <w:tc>
          <w:tcPr>
            <w:tcW w:w="0" w:type="auto"/>
            <w:shd w:val="clear" w:color="auto" w:fill="D9D9D9"/>
          </w:tcPr>
          <w:p w14:paraId="1DF08832"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2FA5A149"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45" w:history="1">
              <w:r w:rsidRPr="00EE05AA">
                <w:rPr>
                  <w:rStyle w:val="Hyperlink"/>
                  <w:rFonts w:asciiTheme="majorHAnsi" w:hAnsiTheme="majorHAnsi"/>
                  <w:sz w:val="22"/>
                  <w:szCs w:val="22"/>
                </w:rPr>
                <w:t xml:space="preserve">Level 3 qualification by age 19 </w:t>
              </w:r>
            </w:hyperlink>
          </w:p>
        </w:tc>
      </w:tr>
      <w:tr w:rsidR="00153816" w:rsidRPr="00EE05AA" w14:paraId="31ED979D" w14:textId="77777777" w:rsidTr="006B1E56">
        <w:trPr>
          <w:trHeight w:val="185"/>
        </w:trPr>
        <w:tc>
          <w:tcPr>
            <w:tcW w:w="0" w:type="auto"/>
            <w:shd w:val="clear" w:color="auto" w:fill="D9D9D9"/>
          </w:tcPr>
          <w:p w14:paraId="46B2737D"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4705507D"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w:t>
            </w:r>
          </w:p>
        </w:tc>
      </w:tr>
      <w:tr w:rsidR="00153816" w:rsidRPr="00EE05AA" w14:paraId="3A3C8BD2" w14:textId="77777777" w:rsidTr="006B1E56">
        <w:trPr>
          <w:trHeight w:val="207"/>
        </w:trPr>
        <w:tc>
          <w:tcPr>
            <w:tcW w:w="0" w:type="auto"/>
            <w:shd w:val="clear" w:color="auto" w:fill="D9D9D9"/>
          </w:tcPr>
          <w:p w14:paraId="02DE3177"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211C4406"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546A70F3"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0" w:type="auto"/>
            <w:shd w:val="clear" w:color="auto" w:fill="D9D9D9"/>
          </w:tcPr>
          <w:p w14:paraId="127BF1CC"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0" w:type="auto"/>
            <w:shd w:val="clear" w:color="auto" w:fill="D9D9D9"/>
          </w:tcPr>
          <w:p w14:paraId="37F7D895"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3126C78F" w14:textId="77777777" w:rsidTr="006B1E56">
        <w:trPr>
          <w:trHeight w:val="207"/>
        </w:trPr>
        <w:tc>
          <w:tcPr>
            <w:tcW w:w="0" w:type="auto"/>
          </w:tcPr>
          <w:p w14:paraId="3FCCB9E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 (academic)</w:t>
            </w:r>
          </w:p>
        </w:tc>
        <w:tc>
          <w:tcPr>
            <w:tcW w:w="0" w:type="auto"/>
          </w:tcPr>
          <w:p w14:paraId="2C0498C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46" w:history="1">
              <w:r w:rsidRPr="00EE05AA">
                <w:rPr>
                  <w:rStyle w:val="Hyperlink"/>
                  <w:rFonts w:asciiTheme="majorHAnsi" w:hAnsiTheme="majorHAnsi"/>
                  <w:sz w:val="22"/>
                  <w:szCs w:val="22"/>
                </w:rPr>
                <w:t xml:space="preserve">55.2 </w:t>
              </w:r>
            </w:hyperlink>
          </w:p>
        </w:tc>
        <w:tc>
          <w:tcPr>
            <w:tcW w:w="0" w:type="auto"/>
          </w:tcPr>
          <w:p w14:paraId="4764E2A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35.5</w:t>
            </w:r>
          </w:p>
        </w:tc>
        <w:tc>
          <w:tcPr>
            <w:tcW w:w="0" w:type="auto"/>
          </w:tcPr>
          <w:p w14:paraId="0458FA6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57.1</w:t>
            </w:r>
          </w:p>
        </w:tc>
        <w:tc>
          <w:tcPr>
            <w:tcW w:w="0" w:type="auto"/>
          </w:tcPr>
          <w:p w14:paraId="648A854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75.2</w:t>
            </w:r>
          </w:p>
        </w:tc>
      </w:tr>
      <w:tr w:rsidR="00153816" w:rsidRPr="00EE05AA" w14:paraId="392C77C5" w14:textId="77777777" w:rsidTr="006B1E56">
        <w:trPr>
          <w:trHeight w:val="185"/>
        </w:trPr>
        <w:tc>
          <w:tcPr>
            <w:tcW w:w="0" w:type="auto"/>
          </w:tcPr>
          <w:p w14:paraId="37C2949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 (academic)</w:t>
            </w:r>
          </w:p>
        </w:tc>
        <w:tc>
          <w:tcPr>
            <w:tcW w:w="0" w:type="auto"/>
          </w:tcPr>
          <w:p w14:paraId="3ECB1DF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47" w:history="1">
              <w:r w:rsidRPr="00EE05AA">
                <w:rPr>
                  <w:rStyle w:val="Hyperlink"/>
                  <w:rFonts w:asciiTheme="majorHAnsi" w:hAnsiTheme="majorHAnsi"/>
                  <w:sz w:val="22"/>
                  <w:szCs w:val="22"/>
                </w:rPr>
                <w:t xml:space="preserve">56.0 </w:t>
              </w:r>
            </w:hyperlink>
          </w:p>
        </w:tc>
        <w:tc>
          <w:tcPr>
            <w:tcW w:w="0" w:type="auto"/>
          </w:tcPr>
          <w:p w14:paraId="1148DCD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35.4</w:t>
            </w:r>
          </w:p>
        </w:tc>
        <w:tc>
          <w:tcPr>
            <w:tcW w:w="0" w:type="auto"/>
          </w:tcPr>
          <w:p w14:paraId="334D6E6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57.5</w:t>
            </w:r>
          </w:p>
        </w:tc>
        <w:tc>
          <w:tcPr>
            <w:tcW w:w="0" w:type="auto"/>
          </w:tcPr>
          <w:p w14:paraId="3C919C7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76.2</w:t>
            </w:r>
          </w:p>
        </w:tc>
      </w:tr>
      <w:tr w:rsidR="00153816" w:rsidRPr="00EE05AA" w14:paraId="1791C7E8" w14:textId="77777777" w:rsidTr="006B1E56">
        <w:trPr>
          <w:trHeight w:val="207"/>
        </w:trPr>
        <w:tc>
          <w:tcPr>
            <w:tcW w:w="0" w:type="auto"/>
          </w:tcPr>
          <w:p w14:paraId="79FB81A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 (academic)</w:t>
            </w:r>
          </w:p>
        </w:tc>
        <w:tc>
          <w:tcPr>
            <w:tcW w:w="0" w:type="auto"/>
          </w:tcPr>
          <w:p w14:paraId="40AAC42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48" w:history="1">
              <w:r w:rsidRPr="00EE05AA">
                <w:rPr>
                  <w:rStyle w:val="Hyperlink"/>
                  <w:rFonts w:asciiTheme="majorHAnsi" w:hAnsiTheme="majorHAnsi"/>
                  <w:sz w:val="22"/>
                  <w:szCs w:val="22"/>
                </w:rPr>
                <w:t xml:space="preserve">56.5 </w:t>
              </w:r>
            </w:hyperlink>
          </w:p>
        </w:tc>
        <w:tc>
          <w:tcPr>
            <w:tcW w:w="0" w:type="auto"/>
          </w:tcPr>
          <w:p w14:paraId="7233109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38.0</w:t>
            </w:r>
          </w:p>
        </w:tc>
        <w:tc>
          <w:tcPr>
            <w:tcW w:w="0" w:type="auto"/>
          </w:tcPr>
          <w:p w14:paraId="2C111CB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57.4</w:t>
            </w:r>
          </w:p>
        </w:tc>
        <w:tc>
          <w:tcPr>
            <w:tcW w:w="0" w:type="auto"/>
          </w:tcPr>
          <w:p w14:paraId="278795F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75.3</w:t>
            </w:r>
          </w:p>
        </w:tc>
      </w:tr>
      <w:tr w:rsidR="00153816" w:rsidRPr="00EE05AA" w14:paraId="40796388" w14:textId="77777777" w:rsidTr="006B1E56">
        <w:trPr>
          <w:trHeight w:val="207"/>
        </w:trPr>
        <w:tc>
          <w:tcPr>
            <w:tcW w:w="0" w:type="auto"/>
          </w:tcPr>
          <w:p w14:paraId="4EAEBD3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 (academic)</w:t>
            </w:r>
          </w:p>
        </w:tc>
        <w:tc>
          <w:tcPr>
            <w:tcW w:w="0" w:type="auto"/>
          </w:tcPr>
          <w:p w14:paraId="209DA7B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49" w:history="1">
              <w:r w:rsidRPr="00EE05AA">
                <w:rPr>
                  <w:rStyle w:val="Hyperlink"/>
                  <w:rFonts w:asciiTheme="majorHAnsi" w:hAnsiTheme="majorHAnsi"/>
                  <w:sz w:val="22"/>
                  <w:szCs w:val="22"/>
                </w:rPr>
                <w:t xml:space="preserve">54.3 </w:t>
              </w:r>
            </w:hyperlink>
          </w:p>
        </w:tc>
        <w:tc>
          <w:tcPr>
            <w:tcW w:w="0" w:type="auto"/>
          </w:tcPr>
          <w:p w14:paraId="5B38154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36.5</w:t>
            </w:r>
          </w:p>
        </w:tc>
        <w:tc>
          <w:tcPr>
            <w:tcW w:w="0" w:type="auto"/>
          </w:tcPr>
          <w:p w14:paraId="11956A6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57.7</w:t>
            </w:r>
          </w:p>
        </w:tc>
        <w:tc>
          <w:tcPr>
            <w:tcW w:w="0" w:type="auto"/>
          </w:tcPr>
          <w:p w14:paraId="2C1F1BC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74.8</w:t>
            </w:r>
          </w:p>
        </w:tc>
      </w:tr>
      <w:tr w:rsidR="00153816" w:rsidRPr="00EE05AA" w14:paraId="3823A7CE" w14:textId="77777777" w:rsidTr="006B1E56">
        <w:trPr>
          <w:trHeight w:val="185"/>
        </w:trPr>
        <w:tc>
          <w:tcPr>
            <w:tcW w:w="0" w:type="auto"/>
          </w:tcPr>
          <w:p w14:paraId="0BEC21C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 (academic)</w:t>
            </w:r>
          </w:p>
        </w:tc>
        <w:tc>
          <w:tcPr>
            <w:tcW w:w="0" w:type="auto"/>
          </w:tcPr>
          <w:p w14:paraId="7CD8090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50" w:history="1">
              <w:r w:rsidRPr="00EE05AA">
                <w:rPr>
                  <w:rStyle w:val="Hyperlink"/>
                  <w:rFonts w:asciiTheme="majorHAnsi" w:hAnsiTheme="majorHAnsi"/>
                  <w:sz w:val="22"/>
                  <w:szCs w:val="22"/>
                </w:rPr>
                <w:t xml:space="preserve">58.6 </w:t>
              </w:r>
            </w:hyperlink>
          </w:p>
        </w:tc>
        <w:tc>
          <w:tcPr>
            <w:tcW w:w="0" w:type="auto"/>
          </w:tcPr>
          <w:p w14:paraId="06DE836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36.5</w:t>
            </w:r>
          </w:p>
        </w:tc>
        <w:tc>
          <w:tcPr>
            <w:tcW w:w="0" w:type="auto"/>
          </w:tcPr>
          <w:p w14:paraId="2163824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57.4</w:t>
            </w:r>
          </w:p>
        </w:tc>
        <w:tc>
          <w:tcPr>
            <w:tcW w:w="0" w:type="auto"/>
          </w:tcPr>
          <w:p w14:paraId="018A77D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75.2</w:t>
            </w:r>
          </w:p>
        </w:tc>
      </w:tr>
      <w:tr w:rsidR="00153816" w:rsidRPr="00EE05AA" w14:paraId="355DF8CE" w14:textId="77777777" w:rsidTr="006B1E56">
        <w:trPr>
          <w:trHeight w:val="207"/>
        </w:trPr>
        <w:tc>
          <w:tcPr>
            <w:tcW w:w="0" w:type="auto"/>
          </w:tcPr>
          <w:p w14:paraId="4AE94E9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 (academic)</w:t>
            </w:r>
          </w:p>
        </w:tc>
        <w:tc>
          <w:tcPr>
            <w:tcW w:w="0" w:type="auto"/>
          </w:tcPr>
          <w:p w14:paraId="737A055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51" w:history="1">
              <w:r w:rsidRPr="00EE05AA">
                <w:rPr>
                  <w:rStyle w:val="Hyperlink"/>
                  <w:rFonts w:asciiTheme="majorHAnsi" w:hAnsiTheme="majorHAnsi"/>
                  <w:sz w:val="22"/>
                  <w:szCs w:val="22"/>
                </w:rPr>
                <w:t xml:space="preserve">58.9 </w:t>
              </w:r>
            </w:hyperlink>
          </w:p>
        </w:tc>
        <w:tc>
          <w:tcPr>
            <w:tcW w:w="0" w:type="auto"/>
          </w:tcPr>
          <w:p w14:paraId="2B2B19A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34.3</w:t>
            </w:r>
          </w:p>
        </w:tc>
        <w:tc>
          <w:tcPr>
            <w:tcW w:w="0" w:type="auto"/>
          </w:tcPr>
          <w:p w14:paraId="2F83965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57.0</w:t>
            </w:r>
          </w:p>
        </w:tc>
        <w:tc>
          <w:tcPr>
            <w:tcW w:w="0" w:type="auto"/>
          </w:tcPr>
          <w:p w14:paraId="662BB22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76.3</w:t>
            </w:r>
          </w:p>
        </w:tc>
      </w:tr>
    </w:tbl>
    <w:p w14:paraId="711EB5A0" w14:textId="77777777" w:rsidR="00153816" w:rsidRPr="00EE05AA" w:rsidRDefault="00153816" w:rsidP="00153816">
      <w:pPr>
        <w:rPr>
          <w:rFonts w:asciiTheme="majorHAnsi" w:hAnsiTheme="majorHAnsi"/>
        </w:rPr>
      </w:pPr>
    </w:p>
    <w:p w14:paraId="422A9D35"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The levels of attainment for level three qualifications seem to have plateaued at a level that is comparable to that of the national level. However, one apparent area of significant difference between local and national educational data relates to the proportion of pupils with statements of educational need, with Brighton and Hove being shown by the vertical red line in in the chart below. </w:t>
      </w:r>
    </w:p>
    <w:p w14:paraId="77DDCB40" w14:textId="77777777" w:rsidR="00153816" w:rsidRPr="00D74B76" w:rsidRDefault="00153816" w:rsidP="00153816">
      <w:pPr>
        <w:rPr>
          <w:rFonts w:asciiTheme="majorHAnsi" w:hAnsiTheme="majorHAnsi"/>
        </w:rPr>
      </w:pPr>
    </w:p>
    <w:p w14:paraId="12CB3DA7" w14:textId="77777777" w:rsidR="00153816" w:rsidRPr="00EE05AA" w:rsidRDefault="00153816" w:rsidP="00153816">
      <w:pPr>
        <w:pStyle w:val="BodyText"/>
        <w:rPr>
          <w:rFonts w:asciiTheme="majorHAnsi" w:hAnsiTheme="majorHAnsi"/>
          <w:sz w:val="22"/>
          <w:szCs w:val="22"/>
        </w:rPr>
      </w:pPr>
    </w:p>
    <w:p w14:paraId="1A08FC9F" w14:textId="77777777" w:rsidR="00153816" w:rsidRPr="00EE05AA" w:rsidRDefault="00153816" w:rsidP="00153816">
      <w:pPr>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1312" behindDoc="0" locked="0" layoutInCell="1" allowOverlap="1" wp14:anchorId="6ED34491" wp14:editId="39FA7399">
                <wp:simplePos x="0" y="0"/>
                <wp:positionH relativeFrom="column">
                  <wp:posOffset>211667</wp:posOffset>
                </wp:positionH>
                <wp:positionV relativeFrom="paragraph">
                  <wp:posOffset>2319867</wp:posOffset>
                </wp:positionV>
                <wp:extent cx="4478866" cy="1312121"/>
                <wp:effectExtent l="0" t="0" r="17145" b="8890"/>
                <wp:wrapNone/>
                <wp:docPr id="108" name="Text Box 108"/>
                <wp:cNvGraphicFramePr/>
                <a:graphic xmlns:a="http://schemas.openxmlformats.org/drawingml/2006/main">
                  <a:graphicData uri="http://schemas.microsoft.com/office/word/2010/wordprocessingShape">
                    <wps:wsp>
                      <wps:cNvSpPr txBox="1"/>
                      <wps:spPr>
                        <a:xfrm>
                          <a:off x="0" y="0"/>
                          <a:ext cx="4478866" cy="1312121"/>
                        </a:xfrm>
                        <a:prstGeom prst="rect">
                          <a:avLst/>
                        </a:prstGeom>
                        <a:solidFill>
                          <a:schemeClr val="tx1">
                            <a:lumMod val="65000"/>
                            <a:lumOff val="35000"/>
                          </a:schemeClr>
                        </a:solidFill>
                        <a:ln w="6350">
                          <a:solidFill>
                            <a:prstClr val="black"/>
                          </a:solidFill>
                        </a:ln>
                      </wps:spPr>
                      <wps:txbx>
                        <w:txbxContent>
                          <w:p w14:paraId="121172C9" w14:textId="77777777" w:rsidR="006B1E56" w:rsidRPr="000414B2" w:rsidRDefault="006B1E56" w:rsidP="00153816">
                            <w:r>
                              <w:t xml:space="preserve">Name of local authority: BHCC shown by red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D34491" id="_x0000_t202" coordsize="21600,21600" o:spt="202" path="m,l,21600r21600,l21600,xe">
                <v:stroke joinstyle="miter"/>
                <v:path gradientshapeok="t" o:connecttype="rect"/>
              </v:shapetype>
              <v:shape id="Text Box 108" o:spid="_x0000_s1026" type="#_x0000_t202" style="position:absolute;margin-left:16.65pt;margin-top:182.65pt;width:352.65pt;height:10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" fillcolor="#5a5a5a [2109]" strokeweight=".5pt">
                <v:textbox>
                  <w:txbxContent>
                    <w:p w14:paraId="121172C9" w14:textId="77777777" w:rsidR="006B1E56" w:rsidRPr="000414B2" w:rsidRDefault="006B1E56" w:rsidP="00153816">
                      <w:r>
                        <w:t xml:space="preserve">Name of local authority: BHCC shown by red line </w:t>
                      </w:r>
                    </w:p>
                  </w:txbxContent>
                </v:textbox>
              </v:shape>
            </w:pict>
          </mc:Fallback>
        </mc:AlternateContent>
      </w:r>
      <w:r>
        <w:rPr>
          <w:rFonts w:asciiTheme="majorHAnsi" w:hAnsiTheme="majorHAnsi"/>
          <w:noProof/>
        </w:rPr>
        <mc:AlternateContent>
          <mc:Choice Requires="wps">
            <w:drawing>
              <wp:anchor distT="0" distB="0" distL="114300" distR="114300" simplePos="0" relativeHeight="251660288" behindDoc="0" locked="0" layoutInCell="1" allowOverlap="1" wp14:anchorId="58319769" wp14:editId="018A8764">
                <wp:simplePos x="0" y="0"/>
                <wp:positionH relativeFrom="column">
                  <wp:posOffset>706754</wp:posOffset>
                </wp:positionH>
                <wp:positionV relativeFrom="paragraph">
                  <wp:posOffset>-52704</wp:posOffset>
                </wp:positionV>
                <wp:extent cx="342477" cy="419100"/>
                <wp:effectExtent l="50800" t="38100" r="38735" b="63500"/>
                <wp:wrapNone/>
                <wp:docPr id="9" name="Straight Arrow Connector 9"/>
                <wp:cNvGraphicFramePr/>
                <a:graphic xmlns:a="http://schemas.openxmlformats.org/drawingml/2006/main">
                  <a:graphicData uri="http://schemas.microsoft.com/office/word/2010/wordprocessingShape">
                    <wps:wsp>
                      <wps:cNvCnPr/>
                      <wps:spPr>
                        <a:xfrm flipH="1">
                          <a:off x="0" y="0"/>
                          <a:ext cx="342477" cy="4191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668C8A" id="_x0000_t32" coordsize="21600,21600" o:spt="32" o:oned="t" path="m,l21600,21600e" filled="f">
                <v:path arrowok="t" fillok="f" o:connecttype="none"/>
                <o:lock v:ext="edit" shapetype="t"/>
              </v:shapetype>
              <v:shape id="Straight Arrow Connector 9" o:spid="_x0000_s1026" type="#_x0000_t32" style="position:absolute;margin-left:55.65pt;margin-top:-4.15pt;width:26.95pt;height:3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" strokecolor="#4f81bd [3204]" strokeweight="2pt">
                <v:stroke endarrow="block"/>
                <v:shadow on="t" color="black" opacity="24903f" origin=",.5" offset="0,.55556mm"/>
              </v:shape>
            </w:pict>
          </mc:Fallback>
        </mc:AlternateContent>
      </w:r>
      <w:r w:rsidRPr="00EE05AA">
        <w:rPr>
          <w:rFonts w:asciiTheme="majorHAnsi" w:hAnsiTheme="majorHAnsi"/>
          <w:noProof/>
        </w:rPr>
        <w:drawing>
          <wp:inline distT="0" distB="0" distL="0" distR="0" wp14:anchorId="3A78BE8D" wp14:editId="4532FC0B">
            <wp:extent cx="4809066" cy="4562445"/>
            <wp:effectExtent l="0" t="0" r="4445" b="0"/>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4830377" cy="4582663"/>
                    </a:xfrm>
                    <a:prstGeom prst="rect">
                      <a:avLst/>
                    </a:prstGeom>
                    <a:ln>
                      <a:noFill/>
                    </a:ln>
                  </pic:spPr>
                </pic:pic>
              </a:graphicData>
            </a:graphic>
          </wp:inline>
        </w:drawing>
      </w:r>
    </w:p>
    <w:p w14:paraId="65D02824" w14:textId="77777777" w:rsidR="00153816" w:rsidRPr="00EE05AA" w:rsidRDefault="00153816" w:rsidP="00153816">
      <w:pPr>
        <w:pStyle w:val="ListParagraph"/>
        <w:ind w:left="360"/>
        <w:rPr>
          <w:rFonts w:asciiTheme="majorHAnsi" w:hAnsiTheme="majorHAnsi"/>
          <w:b/>
          <w:bCs/>
        </w:rPr>
      </w:pPr>
    </w:p>
    <w:p w14:paraId="7DA0D8BF" w14:textId="77777777" w:rsidR="00153816" w:rsidRPr="00EE05AA" w:rsidRDefault="00153816" w:rsidP="00153816">
      <w:pPr>
        <w:pStyle w:val="ListParagraph"/>
        <w:ind w:left="360"/>
        <w:rPr>
          <w:rFonts w:asciiTheme="majorHAnsi" w:hAnsiTheme="majorHAnsi"/>
          <w:b/>
          <w:bCs/>
        </w:rPr>
      </w:pPr>
    </w:p>
    <w:p w14:paraId="1EA81844" w14:textId="77777777" w:rsidR="00153816" w:rsidRPr="00EE05AA" w:rsidRDefault="00153816" w:rsidP="00153816">
      <w:pPr>
        <w:pStyle w:val="ListParagraph"/>
        <w:ind w:left="360"/>
        <w:rPr>
          <w:rFonts w:asciiTheme="majorHAnsi" w:hAnsiTheme="majorHAnsi"/>
          <w:b/>
          <w:bCs/>
        </w:rPr>
      </w:pPr>
    </w:p>
    <w:p w14:paraId="31B7AC5D" w14:textId="77777777" w:rsidR="00153816" w:rsidRPr="00EE05AA" w:rsidRDefault="00153816" w:rsidP="00153816">
      <w:pPr>
        <w:pStyle w:val="ListParagraph"/>
        <w:ind w:left="360"/>
        <w:rPr>
          <w:rFonts w:asciiTheme="majorHAnsi" w:hAnsiTheme="majorHAnsi"/>
          <w:b/>
          <w:bCs/>
        </w:rPr>
      </w:pPr>
    </w:p>
    <w:p w14:paraId="6E5C4672" w14:textId="77777777" w:rsidR="00153816" w:rsidRPr="00D74B76" w:rsidRDefault="00153816" w:rsidP="00153816">
      <w:pPr>
        <w:pStyle w:val="ListParagraph"/>
        <w:numPr>
          <w:ilvl w:val="0"/>
          <w:numId w:val="17"/>
        </w:numPr>
        <w:rPr>
          <w:rFonts w:asciiTheme="majorHAnsi" w:hAnsiTheme="majorHAnsi"/>
          <w:b/>
          <w:bCs/>
        </w:rPr>
      </w:pPr>
      <w:r w:rsidRPr="00D74B76">
        <w:rPr>
          <w:rFonts w:asciiTheme="majorHAnsi" w:hAnsiTheme="majorHAnsi"/>
          <w:b/>
          <w:bCs/>
        </w:rPr>
        <w:t>Local young people</w:t>
      </w:r>
    </w:p>
    <w:p w14:paraId="65077B5F" w14:textId="77777777" w:rsidR="00153816" w:rsidRPr="00D74B76" w:rsidRDefault="00153816" w:rsidP="00153816">
      <w:pPr>
        <w:rPr>
          <w:rFonts w:asciiTheme="majorHAnsi" w:hAnsiTheme="majorHAnsi"/>
        </w:rPr>
      </w:pPr>
    </w:p>
    <w:p w14:paraId="6B14E45E" w14:textId="77777777" w:rsidR="00153816" w:rsidRPr="00D74B76" w:rsidRDefault="00153816" w:rsidP="00153816">
      <w:pPr>
        <w:rPr>
          <w:rFonts w:asciiTheme="majorHAnsi" w:hAnsiTheme="majorHAnsi"/>
        </w:rPr>
      </w:pPr>
    </w:p>
    <w:p w14:paraId="1B89E9D4"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Having outlined some of the key features of the local population and the areas of commonality and difference with national population characteristics, this next section of the report considers data relating to young people, and especially young men within Brighton and Hove. Whilst some of the data presented is taken again from the ONS datasets and also from the Local Government comparator websites, some also originates from BHCC’s own databases – </w:t>
      </w:r>
      <w:proofErr w:type="gramStart"/>
      <w:r w:rsidRPr="00D74B76">
        <w:rPr>
          <w:rFonts w:asciiTheme="majorHAnsi" w:hAnsiTheme="majorHAnsi"/>
        </w:rPr>
        <w:t>i.e.</w:t>
      </w:r>
      <w:proofErr w:type="gramEnd"/>
      <w:r w:rsidRPr="00D74B76">
        <w:rPr>
          <w:rFonts w:asciiTheme="majorHAnsi" w:hAnsiTheme="majorHAnsi"/>
        </w:rPr>
        <w:t xml:space="preserve"> records relating to young men known to the relevant children and family services and data held by the council. </w:t>
      </w:r>
    </w:p>
    <w:p w14:paraId="14DC3147" w14:textId="77777777" w:rsidR="00153816" w:rsidRPr="00D74B76" w:rsidRDefault="00153816" w:rsidP="00153816">
      <w:pPr>
        <w:rPr>
          <w:rFonts w:asciiTheme="majorHAnsi" w:hAnsiTheme="majorHAnsi"/>
        </w:rPr>
      </w:pPr>
    </w:p>
    <w:p w14:paraId="5E5B1A4D" w14:textId="77777777" w:rsidR="00153816" w:rsidRPr="00D74B76" w:rsidRDefault="00153816" w:rsidP="00153816">
      <w:pPr>
        <w:rPr>
          <w:rFonts w:asciiTheme="majorHAnsi" w:hAnsiTheme="majorHAnsi"/>
        </w:rPr>
      </w:pPr>
    </w:p>
    <w:p w14:paraId="680CEDF0" w14:textId="77777777" w:rsidR="00153816" w:rsidRPr="00D74B76" w:rsidRDefault="00153816" w:rsidP="00153816">
      <w:pPr>
        <w:rPr>
          <w:rFonts w:asciiTheme="majorHAnsi" w:hAnsiTheme="majorHAnsi"/>
        </w:rPr>
      </w:pPr>
    </w:p>
    <w:p w14:paraId="5310F497" w14:textId="77777777" w:rsidR="00153816" w:rsidRPr="00D74B76" w:rsidRDefault="00153816" w:rsidP="00153816">
      <w:pPr>
        <w:pStyle w:val="ListParagraph"/>
        <w:numPr>
          <w:ilvl w:val="0"/>
          <w:numId w:val="15"/>
        </w:numPr>
        <w:spacing w:line="360" w:lineRule="auto"/>
        <w:rPr>
          <w:rFonts w:asciiTheme="majorHAnsi" w:hAnsiTheme="majorHAnsi"/>
        </w:rPr>
      </w:pPr>
      <w:r w:rsidRPr="00D74B76">
        <w:rPr>
          <w:rFonts w:asciiTheme="majorHAnsi" w:hAnsiTheme="majorHAnsi"/>
          <w:b/>
          <w:bCs/>
        </w:rPr>
        <w:t>Offending statistics</w:t>
      </w:r>
      <w:r w:rsidRPr="00D74B76">
        <w:rPr>
          <w:rFonts w:asciiTheme="majorHAnsi" w:hAnsiTheme="majorHAnsi"/>
        </w:rPr>
        <w:t xml:space="preserve"> are taken from the Youth Justice Board website and is from the most recently available reporting period/s and the following tables show some of the most relevant information. The first table appears to suggest a declining overall level of offending by young people within the local area, especially in relation to less serious crimes, whilst for the most serious offences, the numbers remain small and appear to have levelled off. </w:t>
      </w:r>
    </w:p>
    <w:p w14:paraId="4C842DFB" w14:textId="77777777" w:rsidR="00153816" w:rsidRPr="00D74B76" w:rsidRDefault="00153816" w:rsidP="00153816">
      <w:pPr>
        <w:rPr>
          <w:rFonts w:asciiTheme="majorHAnsi" w:hAnsiTheme="majorHAnsi"/>
        </w:rPr>
      </w:pPr>
    </w:p>
    <w:p w14:paraId="05E4C9F5" w14:textId="77777777" w:rsidR="00153816" w:rsidRPr="00D74B76" w:rsidRDefault="00153816" w:rsidP="00153816">
      <w:pPr>
        <w:rPr>
          <w:rFonts w:asciiTheme="majorHAnsi" w:hAnsiTheme="majorHAnsi"/>
        </w:rPr>
      </w:pPr>
    </w:p>
    <w:p w14:paraId="35247254" w14:textId="77777777" w:rsidR="00153816" w:rsidRPr="00D74B76" w:rsidRDefault="00153816" w:rsidP="00153816">
      <w:pPr>
        <w:rPr>
          <w:rFonts w:asciiTheme="majorHAnsi" w:hAnsiTheme="majorHAnsi"/>
        </w:rPr>
      </w:pPr>
    </w:p>
    <w:p w14:paraId="5242CE71" w14:textId="77777777" w:rsidR="00153816" w:rsidRPr="00D74B76" w:rsidRDefault="00153816" w:rsidP="00153816"/>
    <w:tbl>
      <w:tblPr>
        <w:tblW w:w="10340" w:type="dxa"/>
        <w:tblLook w:val="04A0" w:firstRow="1" w:lastRow="0" w:firstColumn="1" w:lastColumn="0" w:noHBand="0" w:noVBand="1"/>
      </w:tblPr>
      <w:tblGrid>
        <w:gridCol w:w="284"/>
        <w:gridCol w:w="3253"/>
        <w:gridCol w:w="1738"/>
        <w:gridCol w:w="786"/>
        <w:gridCol w:w="786"/>
        <w:gridCol w:w="786"/>
        <w:gridCol w:w="786"/>
        <w:gridCol w:w="786"/>
        <w:gridCol w:w="1135"/>
      </w:tblGrid>
      <w:tr w:rsidR="00153816" w:rsidRPr="00D74B76" w14:paraId="5CADC723" w14:textId="77777777" w:rsidTr="006B1E56">
        <w:trPr>
          <w:trHeight w:val="255"/>
        </w:trPr>
        <w:tc>
          <w:tcPr>
            <w:tcW w:w="284" w:type="dxa"/>
            <w:tcBorders>
              <w:top w:val="nil"/>
              <w:left w:val="nil"/>
              <w:bottom w:val="nil"/>
              <w:right w:val="nil"/>
            </w:tcBorders>
            <w:shd w:val="clear" w:color="auto" w:fill="auto"/>
            <w:noWrap/>
            <w:vAlign w:val="bottom"/>
            <w:hideMark/>
          </w:tcPr>
          <w:p w14:paraId="67F69B4B" w14:textId="77777777" w:rsidR="00153816" w:rsidRPr="00D74B76" w:rsidRDefault="00153816" w:rsidP="006B1E56">
            <w:pPr>
              <w:rPr>
                <w:rFonts w:asciiTheme="majorHAnsi" w:hAnsiTheme="majorHAnsi"/>
              </w:rPr>
            </w:pPr>
          </w:p>
        </w:tc>
        <w:tc>
          <w:tcPr>
            <w:tcW w:w="10056" w:type="dxa"/>
            <w:gridSpan w:val="8"/>
            <w:tcBorders>
              <w:top w:val="nil"/>
              <w:left w:val="nil"/>
              <w:bottom w:val="nil"/>
              <w:right w:val="nil"/>
            </w:tcBorders>
            <w:shd w:val="clear" w:color="auto" w:fill="auto"/>
            <w:noWrap/>
            <w:vAlign w:val="bottom"/>
            <w:hideMark/>
          </w:tcPr>
          <w:p w14:paraId="7AB068B4" w14:textId="77777777" w:rsidR="00153816" w:rsidRPr="00D74B76" w:rsidRDefault="00153816" w:rsidP="006B1E56">
            <w:pPr>
              <w:rPr>
                <w:rFonts w:asciiTheme="majorHAnsi" w:hAnsiTheme="majorHAnsi"/>
                <w:b/>
                <w:bCs/>
              </w:rPr>
            </w:pPr>
            <w:r w:rsidRPr="00D74B76">
              <w:rPr>
                <w:rFonts w:asciiTheme="majorHAnsi" w:hAnsiTheme="majorHAnsi"/>
                <w:b/>
                <w:bCs/>
              </w:rPr>
              <w:t>Offences: Number of proven offences committed by children, years ending March 2014 to 2019</w:t>
            </w:r>
          </w:p>
        </w:tc>
      </w:tr>
      <w:tr w:rsidR="00153816" w:rsidRPr="00EE05AA" w14:paraId="60B170D0" w14:textId="77777777" w:rsidTr="006B1E56">
        <w:trPr>
          <w:trHeight w:val="255"/>
        </w:trPr>
        <w:tc>
          <w:tcPr>
            <w:tcW w:w="284" w:type="dxa"/>
            <w:tcBorders>
              <w:top w:val="nil"/>
              <w:left w:val="nil"/>
              <w:bottom w:val="nil"/>
              <w:right w:val="nil"/>
            </w:tcBorders>
            <w:shd w:val="clear" w:color="auto" w:fill="auto"/>
            <w:noWrap/>
            <w:vAlign w:val="bottom"/>
            <w:hideMark/>
          </w:tcPr>
          <w:p w14:paraId="11BD6C66" w14:textId="77777777" w:rsidR="00153816" w:rsidRPr="00EE05AA" w:rsidRDefault="00153816" w:rsidP="006B1E56">
            <w:pPr>
              <w:rPr>
                <w:rFonts w:asciiTheme="majorHAnsi" w:hAnsiTheme="majorHAnsi"/>
                <w:b/>
                <w:bCs/>
              </w:rPr>
            </w:pPr>
          </w:p>
        </w:tc>
        <w:tc>
          <w:tcPr>
            <w:tcW w:w="3253" w:type="dxa"/>
            <w:tcBorders>
              <w:top w:val="nil"/>
              <w:left w:val="nil"/>
              <w:bottom w:val="nil"/>
              <w:right w:val="nil"/>
            </w:tcBorders>
            <w:shd w:val="clear" w:color="auto" w:fill="auto"/>
            <w:noWrap/>
            <w:vAlign w:val="bottom"/>
            <w:hideMark/>
          </w:tcPr>
          <w:p w14:paraId="2AF44100" w14:textId="77777777" w:rsidR="00153816" w:rsidRPr="00EE05AA" w:rsidRDefault="00153816" w:rsidP="006B1E56">
            <w:pPr>
              <w:rPr>
                <w:rFonts w:asciiTheme="majorHAnsi" w:hAnsiTheme="majorHAnsi"/>
              </w:rPr>
            </w:pPr>
          </w:p>
        </w:tc>
        <w:tc>
          <w:tcPr>
            <w:tcW w:w="1738" w:type="dxa"/>
            <w:tcBorders>
              <w:top w:val="nil"/>
              <w:left w:val="nil"/>
              <w:bottom w:val="nil"/>
              <w:right w:val="nil"/>
            </w:tcBorders>
            <w:shd w:val="clear" w:color="auto" w:fill="auto"/>
            <w:noWrap/>
            <w:vAlign w:val="bottom"/>
            <w:hideMark/>
          </w:tcPr>
          <w:p w14:paraId="776E5C76"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5FDE154C"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65E3FD51"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7679FE2A"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4118871F"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65047F76"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789AAB7A" w14:textId="77777777" w:rsidR="00153816" w:rsidRPr="00EE05AA" w:rsidRDefault="00153816" w:rsidP="006B1E56">
            <w:pPr>
              <w:rPr>
                <w:rFonts w:asciiTheme="majorHAnsi" w:hAnsiTheme="majorHAnsi"/>
              </w:rPr>
            </w:pPr>
          </w:p>
        </w:tc>
      </w:tr>
      <w:tr w:rsidR="00153816" w:rsidRPr="00EE05AA" w14:paraId="1711B678" w14:textId="77777777" w:rsidTr="006B1E56">
        <w:trPr>
          <w:trHeight w:val="280"/>
        </w:trPr>
        <w:tc>
          <w:tcPr>
            <w:tcW w:w="284" w:type="dxa"/>
            <w:tcBorders>
              <w:top w:val="nil"/>
              <w:left w:val="nil"/>
              <w:bottom w:val="nil"/>
              <w:right w:val="nil"/>
            </w:tcBorders>
            <w:shd w:val="clear" w:color="auto" w:fill="auto"/>
            <w:noWrap/>
            <w:vAlign w:val="bottom"/>
            <w:hideMark/>
          </w:tcPr>
          <w:p w14:paraId="1241C165" w14:textId="77777777" w:rsidR="00153816" w:rsidRPr="00EE05AA" w:rsidRDefault="00153816" w:rsidP="006B1E56">
            <w:pPr>
              <w:rPr>
                <w:rFonts w:asciiTheme="majorHAnsi" w:hAnsiTheme="majorHAnsi"/>
              </w:rPr>
            </w:pPr>
          </w:p>
        </w:tc>
        <w:tc>
          <w:tcPr>
            <w:tcW w:w="3253" w:type="dxa"/>
            <w:tcBorders>
              <w:top w:val="nil"/>
              <w:left w:val="nil"/>
              <w:bottom w:val="nil"/>
              <w:right w:val="nil"/>
            </w:tcBorders>
            <w:shd w:val="clear" w:color="D9E1F2" w:fill="D9E1F2"/>
            <w:noWrap/>
            <w:vAlign w:val="bottom"/>
            <w:hideMark/>
          </w:tcPr>
          <w:p w14:paraId="7FA4ED65" w14:textId="77777777" w:rsidR="00153816" w:rsidRPr="00EE05AA" w:rsidRDefault="00153816" w:rsidP="006B1E56">
            <w:pPr>
              <w:rPr>
                <w:rFonts w:asciiTheme="majorHAnsi" w:hAnsiTheme="majorHAnsi"/>
              </w:rPr>
            </w:pPr>
            <w:r w:rsidRPr="00EE05AA">
              <w:rPr>
                <w:rFonts w:asciiTheme="majorHAnsi" w:hAnsiTheme="majorHAnsi"/>
              </w:rPr>
              <w:t>YOT_Name</w:t>
            </w:r>
          </w:p>
        </w:tc>
        <w:tc>
          <w:tcPr>
            <w:tcW w:w="1738" w:type="dxa"/>
            <w:tcBorders>
              <w:top w:val="nil"/>
              <w:left w:val="nil"/>
              <w:bottom w:val="nil"/>
              <w:right w:val="nil"/>
            </w:tcBorders>
            <w:shd w:val="clear" w:color="D9E1F2" w:fill="D9E1F2"/>
            <w:noWrap/>
            <w:vAlign w:val="bottom"/>
            <w:hideMark/>
          </w:tcPr>
          <w:p w14:paraId="75343440"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786" w:type="dxa"/>
            <w:tcBorders>
              <w:top w:val="nil"/>
              <w:left w:val="nil"/>
              <w:bottom w:val="nil"/>
              <w:right w:val="nil"/>
            </w:tcBorders>
            <w:shd w:val="clear" w:color="auto" w:fill="auto"/>
            <w:noWrap/>
            <w:vAlign w:val="bottom"/>
            <w:hideMark/>
          </w:tcPr>
          <w:p w14:paraId="6EC55F20"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24DF53C6"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269DA43B"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08B221FC"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34CE7D04"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709ECC54" w14:textId="77777777" w:rsidR="00153816" w:rsidRPr="00EE05AA" w:rsidRDefault="00153816" w:rsidP="006B1E56">
            <w:pPr>
              <w:rPr>
                <w:rFonts w:asciiTheme="majorHAnsi" w:hAnsiTheme="majorHAnsi"/>
              </w:rPr>
            </w:pPr>
          </w:p>
        </w:tc>
      </w:tr>
      <w:tr w:rsidR="00153816" w:rsidRPr="00EE05AA" w14:paraId="0BC22F3F" w14:textId="77777777" w:rsidTr="006B1E56">
        <w:trPr>
          <w:trHeight w:val="280"/>
        </w:trPr>
        <w:tc>
          <w:tcPr>
            <w:tcW w:w="284" w:type="dxa"/>
            <w:tcBorders>
              <w:top w:val="nil"/>
              <w:left w:val="nil"/>
              <w:bottom w:val="nil"/>
              <w:right w:val="nil"/>
            </w:tcBorders>
            <w:shd w:val="clear" w:color="auto" w:fill="auto"/>
            <w:noWrap/>
            <w:vAlign w:val="bottom"/>
            <w:hideMark/>
          </w:tcPr>
          <w:p w14:paraId="1D91C820" w14:textId="77777777" w:rsidR="00153816" w:rsidRPr="00EE05AA" w:rsidRDefault="00153816" w:rsidP="006B1E56">
            <w:pPr>
              <w:rPr>
                <w:rFonts w:asciiTheme="majorHAnsi" w:hAnsiTheme="majorHAnsi"/>
              </w:rPr>
            </w:pPr>
          </w:p>
        </w:tc>
        <w:tc>
          <w:tcPr>
            <w:tcW w:w="3253" w:type="dxa"/>
            <w:tcBorders>
              <w:top w:val="nil"/>
              <w:left w:val="nil"/>
              <w:bottom w:val="nil"/>
              <w:right w:val="nil"/>
            </w:tcBorders>
            <w:shd w:val="clear" w:color="D9E1F2" w:fill="D9E1F2"/>
            <w:noWrap/>
            <w:vAlign w:val="bottom"/>
            <w:hideMark/>
          </w:tcPr>
          <w:p w14:paraId="7CB745BE" w14:textId="77777777" w:rsidR="00153816" w:rsidRPr="00EE05AA" w:rsidRDefault="00153816" w:rsidP="006B1E56">
            <w:pPr>
              <w:rPr>
                <w:rFonts w:asciiTheme="majorHAnsi" w:hAnsiTheme="majorHAnsi"/>
              </w:rPr>
            </w:pPr>
            <w:r w:rsidRPr="00EE05AA">
              <w:rPr>
                <w:rFonts w:asciiTheme="majorHAnsi" w:hAnsiTheme="majorHAnsi"/>
              </w:rPr>
              <w:t>Region</w:t>
            </w:r>
          </w:p>
        </w:tc>
        <w:tc>
          <w:tcPr>
            <w:tcW w:w="1738" w:type="dxa"/>
            <w:tcBorders>
              <w:top w:val="nil"/>
              <w:left w:val="nil"/>
              <w:bottom w:val="nil"/>
              <w:right w:val="nil"/>
            </w:tcBorders>
            <w:shd w:val="clear" w:color="D9E1F2" w:fill="D9E1F2"/>
            <w:noWrap/>
            <w:vAlign w:val="bottom"/>
            <w:hideMark/>
          </w:tcPr>
          <w:p w14:paraId="1DFB8D3A" w14:textId="77777777" w:rsidR="00153816" w:rsidRPr="00EE05AA" w:rsidRDefault="00153816" w:rsidP="006B1E56">
            <w:pPr>
              <w:rPr>
                <w:rFonts w:asciiTheme="majorHAnsi" w:hAnsiTheme="majorHAnsi"/>
              </w:rPr>
            </w:pPr>
            <w:r w:rsidRPr="00EE05AA">
              <w:rPr>
                <w:rFonts w:asciiTheme="majorHAnsi" w:hAnsiTheme="majorHAnsi"/>
              </w:rPr>
              <w:t>South East</w:t>
            </w:r>
          </w:p>
        </w:tc>
        <w:tc>
          <w:tcPr>
            <w:tcW w:w="786" w:type="dxa"/>
            <w:tcBorders>
              <w:top w:val="nil"/>
              <w:left w:val="nil"/>
              <w:bottom w:val="nil"/>
              <w:right w:val="nil"/>
            </w:tcBorders>
            <w:shd w:val="clear" w:color="auto" w:fill="auto"/>
            <w:noWrap/>
            <w:vAlign w:val="bottom"/>
            <w:hideMark/>
          </w:tcPr>
          <w:p w14:paraId="56659FA5"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13AA51EA"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081530BD"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2FFB7503"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5CC4D053"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0578F100" w14:textId="77777777" w:rsidR="00153816" w:rsidRPr="00EE05AA" w:rsidRDefault="00153816" w:rsidP="006B1E56">
            <w:pPr>
              <w:rPr>
                <w:rFonts w:asciiTheme="majorHAnsi" w:hAnsiTheme="majorHAnsi"/>
              </w:rPr>
            </w:pPr>
          </w:p>
        </w:tc>
      </w:tr>
      <w:tr w:rsidR="00153816" w:rsidRPr="00EE05AA" w14:paraId="58D19376" w14:textId="77777777" w:rsidTr="006B1E56">
        <w:trPr>
          <w:trHeight w:val="280"/>
        </w:trPr>
        <w:tc>
          <w:tcPr>
            <w:tcW w:w="284" w:type="dxa"/>
            <w:tcBorders>
              <w:top w:val="nil"/>
              <w:left w:val="nil"/>
              <w:bottom w:val="nil"/>
              <w:right w:val="nil"/>
            </w:tcBorders>
            <w:shd w:val="clear" w:color="auto" w:fill="auto"/>
            <w:noWrap/>
            <w:vAlign w:val="bottom"/>
            <w:hideMark/>
          </w:tcPr>
          <w:p w14:paraId="339B37BD" w14:textId="77777777" w:rsidR="00153816" w:rsidRPr="00EE05AA" w:rsidRDefault="00153816" w:rsidP="006B1E56">
            <w:pPr>
              <w:rPr>
                <w:rFonts w:asciiTheme="majorHAnsi" w:hAnsiTheme="majorHAnsi"/>
              </w:rPr>
            </w:pPr>
          </w:p>
        </w:tc>
        <w:tc>
          <w:tcPr>
            <w:tcW w:w="3253" w:type="dxa"/>
            <w:tcBorders>
              <w:top w:val="nil"/>
              <w:left w:val="nil"/>
              <w:bottom w:val="single" w:sz="4" w:space="0" w:color="8EA9DB"/>
              <w:right w:val="nil"/>
            </w:tcBorders>
            <w:shd w:val="clear" w:color="D9E1F2" w:fill="D9E1F2"/>
            <w:noWrap/>
            <w:vAlign w:val="bottom"/>
            <w:hideMark/>
          </w:tcPr>
          <w:p w14:paraId="64B61BCF" w14:textId="77777777" w:rsidR="00153816" w:rsidRPr="00EE05AA" w:rsidRDefault="00153816" w:rsidP="006B1E56">
            <w:pPr>
              <w:rPr>
                <w:rFonts w:asciiTheme="majorHAnsi" w:hAnsiTheme="majorHAnsi"/>
              </w:rPr>
            </w:pPr>
            <w:r w:rsidRPr="00EE05AA">
              <w:rPr>
                <w:rFonts w:asciiTheme="majorHAnsi" w:hAnsiTheme="majorHAnsi"/>
              </w:rPr>
              <w:t>PCC</w:t>
            </w:r>
          </w:p>
        </w:tc>
        <w:tc>
          <w:tcPr>
            <w:tcW w:w="1738" w:type="dxa"/>
            <w:tcBorders>
              <w:top w:val="nil"/>
              <w:left w:val="nil"/>
              <w:bottom w:val="single" w:sz="4" w:space="0" w:color="8EA9DB"/>
              <w:right w:val="nil"/>
            </w:tcBorders>
            <w:shd w:val="clear" w:color="D9E1F2" w:fill="D9E1F2"/>
            <w:noWrap/>
            <w:vAlign w:val="bottom"/>
            <w:hideMark/>
          </w:tcPr>
          <w:p w14:paraId="3955BF59" w14:textId="77777777" w:rsidR="00153816" w:rsidRPr="00EE05AA" w:rsidRDefault="00153816" w:rsidP="006B1E56">
            <w:pPr>
              <w:rPr>
                <w:rFonts w:asciiTheme="majorHAnsi" w:hAnsiTheme="majorHAnsi"/>
              </w:rPr>
            </w:pPr>
            <w:r w:rsidRPr="00EE05AA">
              <w:rPr>
                <w:rFonts w:asciiTheme="majorHAnsi" w:hAnsiTheme="majorHAnsi"/>
              </w:rPr>
              <w:t>(All)</w:t>
            </w:r>
          </w:p>
        </w:tc>
        <w:tc>
          <w:tcPr>
            <w:tcW w:w="786" w:type="dxa"/>
            <w:tcBorders>
              <w:top w:val="nil"/>
              <w:left w:val="nil"/>
              <w:bottom w:val="nil"/>
              <w:right w:val="nil"/>
            </w:tcBorders>
            <w:shd w:val="clear" w:color="auto" w:fill="auto"/>
            <w:noWrap/>
            <w:vAlign w:val="bottom"/>
            <w:hideMark/>
          </w:tcPr>
          <w:p w14:paraId="299A896F"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28972178"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48EBD0A2"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19AFC11A"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068FCBA7"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55848AE7" w14:textId="77777777" w:rsidR="00153816" w:rsidRPr="00EE05AA" w:rsidRDefault="00153816" w:rsidP="006B1E56">
            <w:pPr>
              <w:rPr>
                <w:rFonts w:asciiTheme="majorHAnsi" w:hAnsiTheme="majorHAnsi"/>
              </w:rPr>
            </w:pPr>
          </w:p>
        </w:tc>
      </w:tr>
      <w:tr w:rsidR="00153816" w:rsidRPr="00EE05AA" w14:paraId="2D8D9A39" w14:textId="77777777" w:rsidTr="006B1E56">
        <w:trPr>
          <w:trHeight w:val="280"/>
        </w:trPr>
        <w:tc>
          <w:tcPr>
            <w:tcW w:w="284" w:type="dxa"/>
            <w:tcBorders>
              <w:top w:val="nil"/>
              <w:left w:val="nil"/>
              <w:bottom w:val="nil"/>
              <w:right w:val="nil"/>
            </w:tcBorders>
            <w:shd w:val="clear" w:color="auto" w:fill="auto"/>
            <w:noWrap/>
            <w:vAlign w:val="bottom"/>
            <w:hideMark/>
          </w:tcPr>
          <w:p w14:paraId="7B130402" w14:textId="77777777" w:rsidR="00153816" w:rsidRPr="00EE05AA" w:rsidRDefault="00153816" w:rsidP="006B1E56">
            <w:pPr>
              <w:rPr>
                <w:rFonts w:asciiTheme="majorHAnsi" w:hAnsiTheme="majorHAnsi"/>
              </w:rPr>
            </w:pPr>
          </w:p>
        </w:tc>
        <w:tc>
          <w:tcPr>
            <w:tcW w:w="3253" w:type="dxa"/>
            <w:tcBorders>
              <w:top w:val="nil"/>
              <w:left w:val="nil"/>
              <w:bottom w:val="nil"/>
              <w:right w:val="nil"/>
            </w:tcBorders>
            <w:shd w:val="clear" w:color="auto" w:fill="auto"/>
            <w:noWrap/>
            <w:vAlign w:val="bottom"/>
            <w:hideMark/>
          </w:tcPr>
          <w:p w14:paraId="238DC161" w14:textId="77777777" w:rsidR="00153816" w:rsidRPr="00EE05AA" w:rsidRDefault="00153816" w:rsidP="006B1E56">
            <w:pPr>
              <w:rPr>
                <w:rFonts w:asciiTheme="majorHAnsi" w:hAnsiTheme="majorHAnsi"/>
              </w:rPr>
            </w:pPr>
          </w:p>
        </w:tc>
        <w:tc>
          <w:tcPr>
            <w:tcW w:w="1738" w:type="dxa"/>
            <w:tcBorders>
              <w:top w:val="nil"/>
              <w:left w:val="nil"/>
              <w:bottom w:val="nil"/>
              <w:right w:val="nil"/>
            </w:tcBorders>
            <w:shd w:val="clear" w:color="auto" w:fill="auto"/>
            <w:noWrap/>
            <w:vAlign w:val="bottom"/>
            <w:hideMark/>
          </w:tcPr>
          <w:p w14:paraId="10407B6F"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14CC18F5"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74E63B5A"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3F7FEF6B"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2A10C24D"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5FFAC310"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321A1468" w14:textId="77777777" w:rsidR="00153816" w:rsidRPr="00EE05AA" w:rsidRDefault="00153816" w:rsidP="006B1E56">
            <w:pPr>
              <w:rPr>
                <w:rFonts w:asciiTheme="majorHAnsi" w:hAnsiTheme="majorHAnsi"/>
              </w:rPr>
            </w:pPr>
          </w:p>
        </w:tc>
      </w:tr>
      <w:tr w:rsidR="00153816" w:rsidRPr="00EE05AA" w14:paraId="73AB06F7" w14:textId="77777777" w:rsidTr="006B1E56">
        <w:trPr>
          <w:trHeight w:val="280"/>
        </w:trPr>
        <w:tc>
          <w:tcPr>
            <w:tcW w:w="284" w:type="dxa"/>
            <w:tcBorders>
              <w:top w:val="nil"/>
              <w:left w:val="nil"/>
              <w:bottom w:val="nil"/>
              <w:right w:val="nil"/>
            </w:tcBorders>
            <w:shd w:val="clear" w:color="auto" w:fill="auto"/>
            <w:noWrap/>
            <w:vAlign w:val="bottom"/>
            <w:hideMark/>
          </w:tcPr>
          <w:p w14:paraId="2C623847" w14:textId="77777777" w:rsidR="00153816" w:rsidRPr="00EE05AA" w:rsidRDefault="00153816" w:rsidP="006B1E56">
            <w:pPr>
              <w:rPr>
                <w:rFonts w:asciiTheme="majorHAnsi" w:hAnsiTheme="majorHAnsi"/>
              </w:rPr>
            </w:pPr>
          </w:p>
        </w:tc>
        <w:tc>
          <w:tcPr>
            <w:tcW w:w="3253" w:type="dxa"/>
            <w:tcBorders>
              <w:top w:val="nil"/>
              <w:left w:val="nil"/>
              <w:bottom w:val="nil"/>
              <w:right w:val="nil"/>
            </w:tcBorders>
            <w:shd w:val="clear" w:color="D9E1F2" w:fill="D9E1F2"/>
            <w:noWrap/>
            <w:vAlign w:val="bottom"/>
            <w:hideMark/>
          </w:tcPr>
          <w:p w14:paraId="4F15BEC7" w14:textId="77777777" w:rsidR="00153816" w:rsidRPr="00EE05AA" w:rsidRDefault="00153816" w:rsidP="006B1E56">
            <w:pPr>
              <w:rPr>
                <w:rFonts w:asciiTheme="majorHAnsi" w:hAnsiTheme="majorHAnsi"/>
                <w:b/>
                <w:bCs/>
              </w:rPr>
            </w:pPr>
            <w:r w:rsidRPr="00EE05AA">
              <w:rPr>
                <w:rFonts w:asciiTheme="majorHAnsi" w:hAnsiTheme="majorHAnsi"/>
                <w:b/>
                <w:bCs/>
              </w:rPr>
              <w:t>Sum of Number_Offences</w:t>
            </w:r>
          </w:p>
        </w:tc>
        <w:tc>
          <w:tcPr>
            <w:tcW w:w="1738" w:type="dxa"/>
            <w:tcBorders>
              <w:top w:val="nil"/>
              <w:left w:val="nil"/>
              <w:bottom w:val="nil"/>
              <w:right w:val="nil"/>
            </w:tcBorders>
            <w:shd w:val="clear" w:color="D9E1F2" w:fill="D9E1F2"/>
            <w:noWrap/>
            <w:vAlign w:val="bottom"/>
            <w:hideMark/>
          </w:tcPr>
          <w:p w14:paraId="1044C0F9" w14:textId="77777777" w:rsidR="00153816" w:rsidRPr="00EE05AA" w:rsidRDefault="00153816" w:rsidP="006B1E56">
            <w:pPr>
              <w:rPr>
                <w:rFonts w:asciiTheme="majorHAnsi" w:hAnsiTheme="majorHAnsi"/>
                <w:b/>
                <w:bCs/>
              </w:rPr>
            </w:pPr>
            <w:r w:rsidRPr="00EE05AA">
              <w:rPr>
                <w:rFonts w:asciiTheme="majorHAnsi" w:hAnsiTheme="majorHAnsi"/>
                <w:b/>
                <w:bCs/>
              </w:rPr>
              <w:t>Column Labels</w:t>
            </w:r>
          </w:p>
        </w:tc>
        <w:tc>
          <w:tcPr>
            <w:tcW w:w="786" w:type="dxa"/>
            <w:tcBorders>
              <w:top w:val="nil"/>
              <w:left w:val="nil"/>
              <w:bottom w:val="nil"/>
              <w:right w:val="nil"/>
            </w:tcBorders>
            <w:shd w:val="clear" w:color="D9E1F2" w:fill="D9E1F2"/>
            <w:noWrap/>
            <w:vAlign w:val="bottom"/>
            <w:hideMark/>
          </w:tcPr>
          <w:p w14:paraId="38ABBA6B" w14:textId="77777777" w:rsidR="00153816" w:rsidRPr="00EE05AA" w:rsidRDefault="00153816" w:rsidP="006B1E56">
            <w:pPr>
              <w:rPr>
                <w:rFonts w:asciiTheme="majorHAnsi" w:hAnsiTheme="majorHAnsi"/>
                <w:b/>
                <w:bCs/>
              </w:rPr>
            </w:pPr>
          </w:p>
        </w:tc>
        <w:tc>
          <w:tcPr>
            <w:tcW w:w="786" w:type="dxa"/>
            <w:tcBorders>
              <w:top w:val="nil"/>
              <w:left w:val="nil"/>
              <w:bottom w:val="nil"/>
              <w:right w:val="nil"/>
            </w:tcBorders>
            <w:shd w:val="clear" w:color="D9E1F2" w:fill="D9E1F2"/>
            <w:noWrap/>
            <w:vAlign w:val="bottom"/>
            <w:hideMark/>
          </w:tcPr>
          <w:p w14:paraId="2F1B69EC"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D9E1F2" w:fill="D9E1F2"/>
            <w:noWrap/>
            <w:vAlign w:val="bottom"/>
            <w:hideMark/>
          </w:tcPr>
          <w:p w14:paraId="49BB4E69"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D9E1F2" w:fill="D9E1F2"/>
            <w:noWrap/>
            <w:vAlign w:val="bottom"/>
            <w:hideMark/>
          </w:tcPr>
          <w:p w14:paraId="31BBFD85"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D9E1F2" w:fill="D9E1F2"/>
            <w:noWrap/>
            <w:vAlign w:val="bottom"/>
            <w:hideMark/>
          </w:tcPr>
          <w:p w14:paraId="13F995F6"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D9E1F2" w:fill="D9E1F2"/>
            <w:noWrap/>
            <w:vAlign w:val="bottom"/>
            <w:hideMark/>
          </w:tcPr>
          <w:p w14:paraId="68FAAC25" w14:textId="77777777" w:rsidR="00153816" w:rsidRPr="00EE05AA" w:rsidRDefault="00153816" w:rsidP="006B1E56">
            <w:pPr>
              <w:rPr>
                <w:rFonts w:asciiTheme="majorHAnsi" w:hAnsiTheme="majorHAnsi"/>
              </w:rPr>
            </w:pPr>
          </w:p>
        </w:tc>
      </w:tr>
      <w:tr w:rsidR="00153816" w:rsidRPr="00EE05AA" w14:paraId="6F8BE0B2" w14:textId="77777777" w:rsidTr="006B1E56">
        <w:trPr>
          <w:trHeight w:val="280"/>
        </w:trPr>
        <w:tc>
          <w:tcPr>
            <w:tcW w:w="284" w:type="dxa"/>
            <w:tcBorders>
              <w:top w:val="nil"/>
              <w:left w:val="nil"/>
              <w:bottom w:val="nil"/>
              <w:right w:val="nil"/>
            </w:tcBorders>
            <w:shd w:val="clear" w:color="auto" w:fill="auto"/>
            <w:noWrap/>
            <w:vAlign w:val="bottom"/>
            <w:hideMark/>
          </w:tcPr>
          <w:p w14:paraId="033737C8" w14:textId="77777777" w:rsidR="00153816" w:rsidRPr="00EE05AA" w:rsidRDefault="00153816" w:rsidP="006B1E56">
            <w:pPr>
              <w:rPr>
                <w:rFonts w:asciiTheme="majorHAnsi" w:hAnsiTheme="majorHAnsi"/>
              </w:rPr>
            </w:pPr>
          </w:p>
        </w:tc>
        <w:tc>
          <w:tcPr>
            <w:tcW w:w="3253" w:type="dxa"/>
            <w:tcBorders>
              <w:top w:val="nil"/>
              <w:left w:val="nil"/>
              <w:bottom w:val="single" w:sz="4" w:space="0" w:color="8EA9DB"/>
              <w:right w:val="nil"/>
            </w:tcBorders>
            <w:shd w:val="clear" w:color="D9E1F2" w:fill="D9E1F2"/>
            <w:noWrap/>
            <w:vAlign w:val="bottom"/>
            <w:hideMark/>
          </w:tcPr>
          <w:p w14:paraId="7863A57B" w14:textId="77777777" w:rsidR="00153816" w:rsidRPr="00EE05AA" w:rsidRDefault="00153816" w:rsidP="006B1E56">
            <w:pPr>
              <w:rPr>
                <w:rFonts w:asciiTheme="majorHAnsi" w:hAnsiTheme="majorHAnsi"/>
                <w:b/>
                <w:bCs/>
              </w:rPr>
            </w:pPr>
            <w:r w:rsidRPr="00EE05AA">
              <w:rPr>
                <w:rFonts w:asciiTheme="majorHAnsi" w:hAnsiTheme="majorHAnsi"/>
                <w:b/>
                <w:bCs/>
              </w:rPr>
              <w:t>Row Labels</w:t>
            </w:r>
          </w:p>
        </w:tc>
        <w:tc>
          <w:tcPr>
            <w:tcW w:w="1738" w:type="dxa"/>
            <w:tcBorders>
              <w:top w:val="nil"/>
              <w:left w:val="nil"/>
              <w:bottom w:val="single" w:sz="4" w:space="0" w:color="8EA9DB"/>
              <w:right w:val="nil"/>
            </w:tcBorders>
            <w:shd w:val="clear" w:color="D9E1F2" w:fill="D9E1F2"/>
            <w:noWrap/>
            <w:vAlign w:val="bottom"/>
            <w:hideMark/>
          </w:tcPr>
          <w:p w14:paraId="21D057E0" w14:textId="77777777" w:rsidR="00153816" w:rsidRPr="00EE05AA" w:rsidRDefault="00153816" w:rsidP="006B1E56">
            <w:pPr>
              <w:rPr>
                <w:rFonts w:asciiTheme="majorHAnsi" w:hAnsiTheme="majorHAnsi"/>
                <w:b/>
                <w:bCs/>
              </w:rPr>
            </w:pPr>
            <w:r w:rsidRPr="00EE05AA">
              <w:rPr>
                <w:rFonts w:asciiTheme="majorHAnsi" w:hAnsiTheme="majorHAnsi"/>
                <w:b/>
                <w:bCs/>
              </w:rPr>
              <w:t>2013-14</w:t>
            </w:r>
          </w:p>
        </w:tc>
        <w:tc>
          <w:tcPr>
            <w:tcW w:w="786" w:type="dxa"/>
            <w:tcBorders>
              <w:top w:val="nil"/>
              <w:left w:val="nil"/>
              <w:bottom w:val="single" w:sz="4" w:space="0" w:color="8EA9DB"/>
              <w:right w:val="nil"/>
            </w:tcBorders>
            <w:shd w:val="clear" w:color="D9E1F2" w:fill="D9E1F2"/>
            <w:noWrap/>
            <w:vAlign w:val="bottom"/>
            <w:hideMark/>
          </w:tcPr>
          <w:p w14:paraId="50C7DE0D" w14:textId="77777777" w:rsidR="00153816" w:rsidRPr="00EE05AA" w:rsidRDefault="00153816" w:rsidP="006B1E56">
            <w:pPr>
              <w:rPr>
                <w:rFonts w:asciiTheme="majorHAnsi" w:hAnsiTheme="majorHAnsi"/>
                <w:b/>
                <w:bCs/>
              </w:rPr>
            </w:pPr>
            <w:r w:rsidRPr="00EE05AA">
              <w:rPr>
                <w:rFonts w:asciiTheme="majorHAnsi" w:hAnsiTheme="majorHAnsi"/>
                <w:b/>
                <w:bCs/>
              </w:rPr>
              <w:t>2014-15</w:t>
            </w:r>
          </w:p>
        </w:tc>
        <w:tc>
          <w:tcPr>
            <w:tcW w:w="786" w:type="dxa"/>
            <w:tcBorders>
              <w:top w:val="nil"/>
              <w:left w:val="nil"/>
              <w:bottom w:val="single" w:sz="4" w:space="0" w:color="8EA9DB"/>
              <w:right w:val="nil"/>
            </w:tcBorders>
            <w:shd w:val="clear" w:color="D9E1F2" w:fill="D9E1F2"/>
            <w:noWrap/>
            <w:vAlign w:val="bottom"/>
            <w:hideMark/>
          </w:tcPr>
          <w:p w14:paraId="1E9E82F9" w14:textId="77777777" w:rsidR="00153816" w:rsidRPr="00EE05AA" w:rsidRDefault="00153816" w:rsidP="006B1E56">
            <w:pPr>
              <w:rPr>
                <w:rFonts w:asciiTheme="majorHAnsi" w:hAnsiTheme="majorHAnsi"/>
                <w:b/>
                <w:bCs/>
              </w:rPr>
            </w:pPr>
            <w:r w:rsidRPr="00EE05AA">
              <w:rPr>
                <w:rFonts w:asciiTheme="majorHAnsi" w:hAnsiTheme="majorHAnsi"/>
                <w:b/>
                <w:bCs/>
              </w:rPr>
              <w:t>2015-16</w:t>
            </w:r>
          </w:p>
        </w:tc>
        <w:tc>
          <w:tcPr>
            <w:tcW w:w="786" w:type="dxa"/>
            <w:tcBorders>
              <w:top w:val="nil"/>
              <w:left w:val="nil"/>
              <w:bottom w:val="single" w:sz="4" w:space="0" w:color="8EA9DB"/>
              <w:right w:val="nil"/>
            </w:tcBorders>
            <w:shd w:val="clear" w:color="D9E1F2" w:fill="D9E1F2"/>
            <w:noWrap/>
            <w:vAlign w:val="bottom"/>
            <w:hideMark/>
          </w:tcPr>
          <w:p w14:paraId="421353AA" w14:textId="77777777" w:rsidR="00153816" w:rsidRPr="00EE05AA" w:rsidRDefault="00153816" w:rsidP="006B1E56">
            <w:pPr>
              <w:rPr>
                <w:rFonts w:asciiTheme="majorHAnsi" w:hAnsiTheme="majorHAnsi"/>
                <w:b/>
                <w:bCs/>
              </w:rPr>
            </w:pPr>
            <w:r w:rsidRPr="00EE05AA">
              <w:rPr>
                <w:rFonts w:asciiTheme="majorHAnsi" w:hAnsiTheme="majorHAnsi"/>
                <w:b/>
                <w:bCs/>
              </w:rPr>
              <w:t>2016-17</w:t>
            </w:r>
          </w:p>
        </w:tc>
        <w:tc>
          <w:tcPr>
            <w:tcW w:w="786" w:type="dxa"/>
            <w:tcBorders>
              <w:top w:val="nil"/>
              <w:left w:val="nil"/>
              <w:bottom w:val="single" w:sz="4" w:space="0" w:color="8EA9DB"/>
              <w:right w:val="nil"/>
            </w:tcBorders>
            <w:shd w:val="clear" w:color="D9E1F2" w:fill="D9E1F2"/>
            <w:noWrap/>
            <w:vAlign w:val="bottom"/>
            <w:hideMark/>
          </w:tcPr>
          <w:p w14:paraId="7A7D65FD" w14:textId="77777777" w:rsidR="00153816" w:rsidRPr="00EE05AA" w:rsidRDefault="00153816" w:rsidP="006B1E56">
            <w:pPr>
              <w:rPr>
                <w:rFonts w:asciiTheme="majorHAnsi" w:hAnsiTheme="majorHAnsi"/>
                <w:b/>
                <w:bCs/>
              </w:rPr>
            </w:pPr>
            <w:r w:rsidRPr="00EE05AA">
              <w:rPr>
                <w:rFonts w:asciiTheme="majorHAnsi" w:hAnsiTheme="majorHAnsi"/>
                <w:b/>
                <w:bCs/>
              </w:rPr>
              <w:t>2017-18</w:t>
            </w:r>
          </w:p>
        </w:tc>
        <w:tc>
          <w:tcPr>
            <w:tcW w:w="786" w:type="dxa"/>
            <w:tcBorders>
              <w:top w:val="nil"/>
              <w:left w:val="nil"/>
              <w:bottom w:val="single" w:sz="4" w:space="0" w:color="8EA9DB"/>
              <w:right w:val="nil"/>
            </w:tcBorders>
            <w:shd w:val="clear" w:color="D9E1F2" w:fill="D9E1F2"/>
            <w:noWrap/>
            <w:vAlign w:val="bottom"/>
            <w:hideMark/>
          </w:tcPr>
          <w:p w14:paraId="37BE94D2" w14:textId="77777777" w:rsidR="00153816" w:rsidRPr="00EE05AA" w:rsidRDefault="00153816" w:rsidP="006B1E56">
            <w:pPr>
              <w:rPr>
                <w:rFonts w:asciiTheme="majorHAnsi" w:hAnsiTheme="majorHAnsi"/>
                <w:b/>
                <w:bCs/>
              </w:rPr>
            </w:pPr>
            <w:r w:rsidRPr="00EE05AA">
              <w:rPr>
                <w:rFonts w:asciiTheme="majorHAnsi" w:hAnsiTheme="majorHAnsi"/>
                <w:b/>
                <w:bCs/>
              </w:rPr>
              <w:t>2018-19</w:t>
            </w:r>
          </w:p>
        </w:tc>
        <w:tc>
          <w:tcPr>
            <w:tcW w:w="1135" w:type="dxa"/>
            <w:tcBorders>
              <w:top w:val="nil"/>
              <w:left w:val="nil"/>
              <w:bottom w:val="single" w:sz="4" w:space="0" w:color="8EA9DB"/>
              <w:right w:val="nil"/>
            </w:tcBorders>
            <w:shd w:val="clear" w:color="D9E1F2" w:fill="D9E1F2"/>
            <w:noWrap/>
            <w:vAlign w:val="bottom"/>
            <w:hideMark/>
          </w:tcPr>
          <w:p w14:paraId="25600426" w14:textId="77777777" w:rsidR="00153816" w:rsidRPr="00EE05AA" w:rsidRDefault="00153816" w:rsidP="006B1E56">
            <w:pPr>
              <w:rPr>
                <w:rFonts w:asciiTheme="majorHAnsi" w:hAnsiTheme="majorHAnsi"/>
                <w:b/>
                <w:bCs/>
              </w:rPr>
            </w:pPr>
            <w:r w:rsidRPr="00EE05AA">
              <w:rPr>
                <w:rFonts w:asciiTheme="majorHAnsi" w:hAnsiTheme="majorHAnsi"/>
                <w:b/>
                <w:bCs/>
              </w:rPr>
              <w:t>Grand Total</w:t>
            </w:r>
          </w:p>
        </w:tc>
      </w:tr>
      <w:tr w:rsidR="00153816" w:rsidRPr="00EE05AA" w14:paraId="29750DAF" w14:textId="77777777" w:rsidTr="006B1E56">
        <w:trPr>
          <w:trHeight w:val="280"/>
        </w:trPr>
        <w:tc>
          <w:tcPr>
            <w:tcW w:w="284" w:type="dxa"/>
            <w:tcBorders>
              <w:top w:val="nil"/>
              <w:left w:val="nil"/>
              <w:bottom w:val="nil"/>
              <w:right w:val="nil"/>
            </w:tcBorders>
            <w:shd w:val="clear" w:color="auto" w:fill="auto"/>
            <w:noWrap/>
            <w:vAlign w:val="bottom"/>
            <w:hideMark/>
          </w:tcPr>
          <w:p w14:paraId="64380406" w14:textId="77777777" w:rsidR="00153816" w:rsidRPr="00EE05AA" w:rsidRDefault="00153816" w:rsidP="006B1E56">
            <w:pPr>
              <w:rPr>
                <w:rFonts w:asciiTheme="majorHAnsi" w:hAnsiTheme="majorHAnsi"/>
                <w:b/>
                <w:bCs/>
              </w:rPr>
            </w:pPr>
          </w:p>
        </w:tc>
        <w:tc>
          <w:tcPr>
            <w:tcW w:w="3253" w:type="dxa"/>
            <w:tcBorders>
              <w:top w:val="nil"/>
              <w:left w:val="nil"/>
              <w:bottom w:val="nil"/>
              <w:right w:val="nil"/>
            </w:tcBorders>
            <w:shd w:val="clear" w:color="auto" w:fill="auto"/>
            <w:noWrap/>
            <w:vAlign w:val="bottom"/>
            <w:hideMark/>
          </w:tcPr>
          <w:p w14:paraId="53FF41A8" w14:textId="77777777" w:rsidR="00153816" w:rsidRPr="00EE05AA" w:rsidRDefault="00153816" w:rsidP="006B1E56">
            <w:pPr>
              <w:rPr>
                <w:rFonts w:asciiTheme="majorHAnsi" w:hAnsiTheme="majorHAnsi"/>
              </w:rPr>
            </w:pPr>
            <w:r w:rsidRPr="00EE05AA">
              <w:rPr>
                <w:rFonts w:asciiTheme="majorHAnsi" w:hAnsiTheme="majorHAnsi"/>
              </w:rPr>
              <w:t>1-4 gravity score (low)</w:t>
            </w:r>
          </w:p>
        </w:tc>
        <w:tc>
          <w:tcPr>
            <w:tcW w:w="1738" w:type="dxa"/>
            <w:tcBorders>
              <w:top w:val="nil"/>
              <w:left w:val="nil"/>
              <w:bottom w:val="nil"/>
              <w:right w:val="nil"/>
            </w:tcBorders>
            <w:shd w:val="clear" w:color="auto" w:fill="auto"/>
            <w:noWrap/>
            <w:vAlign w:val="bottom"/>
            <w:hideMark/>
          </w:tcPr>
          <w:p w14:paraId="02869DF4"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01665DE8"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4F2D2C9A"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1314FDF0" w14:textId="77777777" w:rsidR="00153816" w:rsidRPr="00EE05AA" w:rsidRDefault="00153816" w:rsidP="006B1E56">
            <w:pPr>
              <w:jc w:val="right"/>
              <w:rPr>
                <w:rFonts w:asciiTheme="majorHAnsi" w:hAnsiTheme="majorHAnsi"/>
              </w:rPr>
            </w:pPr>
            <w:r w:rsidRPr="00EE05AA">
              <w:rPr>
                <w:rFonts w:asciiTheme="majorHAnsi" w:hAnsiTheme="majorHAnsi"/>
              </w:rPr>
              <w:t>252</w:t>
            </w:r>
          </w:p>
        </w:tc>
        <w:tc>
          <w:tcPr>
            <w:tcW w:w="786" w:type="dxa"/>
            <w:tcBorders>
              <w:top w:val="nil"/>
              <w:left w:val="nil"/>
              <w:bottom w:val="nil"/>
              <w:right w:val="nil"/>
            </w:tcBorders>
            <w:shd w:val="clear" w:color="auto" w:fill="auto"/>
            <w:noWrap/>
            <w:vAlign w:val="bottom"/>
            <w:hideMark/>
          </w:tcPr>
          <w:p w14:paraId="275E996F" w14:textId="77777777" w:rsidR="00153816" w:rsidRPr="00EE05AA" w:rsidRDefault="00153816" w:rsidP="006B1E56">
            <w:pPr>
              <w:jc w:val="right"/>
              <w:rPr>
                <w:rFonts w:asciiTheme="majorHAnsi" w:hAnsiTheme="majorHAnsi"/>
              </w:rPr>
            </w:pPr>
            <w:r w:rsidRPr="00EE05AA">
              <w:rPr>
                <w:rFonts w:asciiTheme="majorHAnsi" w:hAnsiTheme="majorHAnsi"/>
              </w:rPr>
              <w:t>175</w:t>
            </w:r>
          </w:p>
        </w:tc>
        <w:tc>
          <w:tcPr>
            <w:tcW w:w="786" w:type="dxa"/>
            <w:tcBorders>
              <w:top w:val="nil"/>
              <w:left w:val="nil"/>
              <w:bottom w:val="nil"/>
              <w:right w:val="nil"/>
            </w:tcBorders>
            <w:shd w:val="clear" w:color="auto" w:fill="auto"/>
            <w:noWrap/>
            <w:vAlign w:val="bottom"/>
            <w:hideMark/>
          </w:tcPr>
          <w:p w14:paraId="73310878" w14:textId="77777777" w:rsidR="00153816" w:rsidRPr="00EE05AA" w:rsidRDefault="00153816" w:rsidP="006B1E56">
            <w:pPr>
              <w:jc w:val="right"/>
              <w:rPr>
                <w:rFonts w:asciiTheme="majorHAnsi" w:hAnsiTheme="majorHAnsi"/>
              </w:rPr>
            </w:pPr>
            <w:r w:rsidRPr="00EE05AA">
              <w:rPr>
                <w:rFonts w:asciiTheme="majorHAnsi" w:hAnsiTheme="majorHAnsi"/>
              </w:rPr>
              <w:t>169</w:t>
            </w:r>
          </w:p>
        </w:tc>
        <w:tc>
          <w:tcPr>
            <w:tcW w:w="1135" w:type="dxa"/>
            <w:tcBorders>
              <w:top w:val="nil"/>
              <w:left w:val="nil"/>
              <w:bottom w:val="nil"/>
              <w:right w:val="nil"/>
            </w:tcBorders>
            <w:shd w:val="clear" w:color="auto" w:fill="auto"/>
            <w:noWrap/>
            <w:vAlign w:val="bottom"/>
            <w:hideMark/>
          </w:tcPr>
          <w:p w14:paraId="3B1ED8EF" w14:textId="77777777" w:rsidR="00153816" w:rsidRPr="00EE05AA" w:rsidRDefault="00153816" w:rsidP="006B1E56">
            <w:pPr>
              <w:jc w:val="right"/>
              <w:rPr>
                <w:rFonts w:asciiTheme="majorHAnsi" w:hAnsiTheme="majorHAnsi"/>
              </w:rPr>
            </w:pPr>
            <w:r w:rsidRPr="00EE05AA">
              <w:rPr>
                <w:rFonts w:asciiTheme="majorHAnsi" w:hAnsiTheme="majorHAnsi"/>
              </w:rPr>
              <w:t>596</w:t>
            </w:r>
          </w:p>
        </w:tc>
      </w:tr>
      <w:tr w:rsidR="00153816" w:rsidRPr="00EE05AA" w14:paraId="559E3595" w14:textId="77777777" w:rsidTr="006B1E56">
        <w:trPr>
          <w:trHeight w:val="280"/>
        </w:trPr>
        <w:tc>
          <w:tcPr>
            <w:tcW w:w="284" w:type="dxa"/>
            <w:tcBorders>
              <w:top w:val="nil"/>
              <w:left w:val="nil"/>
              <w:bottom w:val="nil"/>
              <w:right w:val="nil"/>
            </w:tcBorders>
            <w:shd w:val="clear" w:color="auto" w:fill="auto"/>
            <w:noWrap/>
            <w:vAlign w:val="bottom"/>
            <w:hideMark/>
          </w:tcPr>
          <w:p w14:paraId="0A9AC9A5" w14:textId="77777777" w:rsidR="00153816" w:rsidRPr="00EE05AA" w:rsidRDefault="00153816" w:rsidP="006B1E56">
            <w:pPr>
              <w:jc w:val="right"/>
              <w:rPr>
                <w:rFonts w:asciiTheme="majorHAnsi" w:hAnsiTheme="majorHAnsi"/>
              </w:rPr>
            </w:pPr>
          </w:p>
        </w:tc>
        <w:tc>
          <w:tcPr>
            <w:tcW w:w="3253" w:type="dxa"/>
            <w:tcBorders>
              <w:top w:val="nil"/>
              <w:left w:val="nil"/>
              <w:bottom w:val="nil"/>
              <w:right w:val="nil"/>
            </w:tcBorders>
            <w:shd w:val="clear" w:color="auto" w:fill="auto"/>
            <w:noWrap/>
            <w:vAlign w:val="bottom"/>
            <w:hideMark/>
          </w:tcPr>
          <w:p w14:paraId="6F3674F6" w14:textId="77777777" w:rsidR="00153816" w:rsidRPr="00EE05AA" w:rsidRDefault="00153816" w:rsidP="006B1E56">
            <w:pPr>
              <w:rPr>
                <w:rFonts w:asciiTheme="majorHAnsi" w:hAnsiTheme="majorHAnsi"/>
              </w:rPr>
            </w:pPr>
            <w:r w:rsidRPr="00EE05AA">
              <w:rPr>
                <w:rFonts w:asciiTheme="majorHAnsi" w:hAnsiTheme="majorHAnsi"/>
              </w:rPr>
              <w:t>5-8 (high)</w:t>
            </w:r>
          </w:p>
        </w:tc>
        <w:tc>
          <w:tcPr>
            <w:tcW w:w="1738" w:type="dxa"/>
            <w:tcBorders>
              <w:top w:val="nil"/>
              <w:left w:val="nil"/>
              <w:bottom w:val="nil"/>
              <w:right w:val="nil"/>
            </w:tcBorders>
            <w:shd w:val="clear" w:color="auto" w:fill="auto"/>
            <w:noWrap/>
            <w:vAlign w:val="bottom"/>
            <w:hideMark/>
          </w:tcPr>
          <w:p w14:paraId="17320026"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743C722A"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4DF4B695"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400D5FC0" w14:textId="77777777" w:rsidR="00153816" w:rsidRPr="00EE05AA" w:rsidRDefault="00153816" w:rsidP="006B1E56">
            <w:pPr>
              <w:jc w:val="right"/>
              <w:rPr>
                <w:rFonts w:asciiTheme="majorHAnsi" w:hAnsiTheme="majorHAnsi"/>
              </w:rPr>
            </w:pPr>
            <w:r w:rsidRPr="00EE05AA">
              <w:rPr>
                <w:rFonts w:asciiTheme="majorHAnsi" w:hAnsiTheme="majorHAnsi"/>
              </w:rPr>
              <w:t>27</w:t>
            </w:r>
          </w:p>
        </w:tc>
        <w:tc>
          <w:tcPr>
            <w:tcW w:w="786" w:type="dxa"/>
            <w:tcBorders>
              <w:top w:val="nil"/>
              <w:left w:val="nil"/>
              <w:bottom w:val="nil"/>
              <w:right w:val="nil"/>
            </w:tcBorders>
            <w:shd w:val="clear" w:color="auto" w:fill="auto"/>
            <w:noWrap/>
            <w:vAlign w:val="bottom"/>
            <w:hideMark/>
          </w:tcPr>
          <w:p w14:paraId="5C1F189F" w14:textId="77777777" w:rsidR="00153816" w:rsidRPr="00EE05AA" w:rsidRDefault="00153816" w:rsidP="006B1E56">
            <w:pPr>
              <w:jc w:val="right"/>
              <w:rPr>
                <w:rFonts w:asciiTheme="majorHAnsi" w:hAnsiTheme="majorHAnsi"/>
              </w:rPr>
            </w:pPr>
            <w:r w:rsidRPr="00EE05AA">
              <w:rPr>
                <w:rFonts w:asciiTheme="majorHAnsi" w:hAnsiTheme="majorHAnsi"/>
              </w:rPr>
              <w:t>37</w:t>
            </w:r>
          </w:p>
        </w:tc>
        <w:tc>
          <w:tcPr>
            <w:tcW w:w="786" w:type="dxa"/>
            <w:tcBorders>
              <w:top w:val="nil"/>
              <w:left w:val="nil"/>
              <w:bottom w:val="nil"/>
              <w:right w:val="nil"/>
            </w:tcBorders>
            <w:shd w:val="clear" w:color="auto" w:fill="auto"/>
            <w:noWrap/>
            <w:vAlign w:val="bottom"/>
            <w:hideMark/>
          </w:tcPr>
          <w:p w14:paraId="30007DBB" w14:textId="77777777" w:rsidR="00153816" w:rsidRPr="00EE05AA" w:rsidRDefault="00153816" w:rsidP="006B1E56">
            <w:pPr>
              <w:jc w:val="right"/>
              <w:rPr>
                <w:rFonts w:asciiTheme="majorHAnsi" w:hAnsiTheme="majorHAnsi"/>
              </w:rPr>
            </w:pPr>
            <w:r w:rsidRPr="00EE05AA">
              <w:rPr>
                <w:rFonts w:asciiTheme="majorHAnsi" w:hAnsiTheme="majorHAnsi"/>
              </w:rPr>
              <w:t>31</w:t>
            </w:r>
          </w:p>
        </w:tc>
        <w:tc>
          <w:tcPr>
            <w:tcW w:w="1135" w:type="dxa"/>
            <w:tcBorders>
              <w:top w:val="nil"/>
              <w:left w:val="nil"/>
              <w:bottom w:val="nil"/>
              <w:right w:val="nil"/>
            </w:tcBorders>
            <w:shd w:val="clear" w:color="auto" w:fill="auto"/>
            <w:noWrap/>
            <w:vAlign w:val="bottom"/>
            <w:hideMark/>
          </w:tcPr>
          <w:p w14:paraId="1DE42CFA" w14:textId="77777777" w:rsidR="00153816" w:rsidRPr="00EE05AA" w:rsidRDefault="00153816" w:rsidP="006B1E56">
            <w:pPr>
              <w:jc w:val="right"/>
              <w:rPr>
                <w:rFonts w:asciiTheme="majorHAnsi" w:hAnsiTheme="majorHAnsi"/>
              </w:rPr>
            </w:pPr>
            <w:r w:rsidRPr="00EE05AA">
              <w:rPr>
                <w:rFonts w:asciiTheme="majorHAnsi" w:hAnsiTheme="majorHAnsi"/>
              </w:rPr>
              <w:t>95</w:t>
            </w:r>
          </w:p>
        </w:tc>
      </w:tr>
      <w:tr w:rsidR="00153816" w:rsidRPr="00EE05AA" w14:paraId="7427C000" w14:textId="77777777" w:rsidTr="006B1E56">
        <w:trPr>
          <w:trHeight w:val="280"/>
        </w:trPr>
        <w:tc>
          <w:tcPr>
            <w:tcW w:w="284" w:type="dxa"/>
            <w:tcBorders>
              <w:top w:val="nil"/>
              <w:left w:val="nil"/>
              <w:bottom w:val="nil"/>
              <w:right w:val="nil"/>
            </w:tcBorders>
            <w:shd w:val="clear" w:color="auto" w:fill="auto"/>
            <w:noWrap/>
            <w:vAlign w:val="bottom"/>
            <w:hideMark/>
          </w:tcPr>
          <w:p w14:paraId="317A68E6" w14:textId="77777777" w:rsidR="00153816" w:rsidRPr="00EE05AA" w:rsidRDefault="00153816" w:rsidP="006B1E56">
            <w:pPr>
              <w:jc w:val="right"/>
              <w:rPr>
                <w:rFonts w:asciiTheme="majorHAnsi" w:hAnsiTheme="majorHAnsi"/>
              </w:rPr>
            </w:pPr>
          </w:p>
        </w:tc>
        <w:tc>
          <w:tcPr>
            <w:tcW w:w="3253" w:type="dxa"/>
            <w:tcBorders>
              <w:top w:val="nil"/>
              <w:left w:val="nil"/>
              <w:bottom w:val="nil"/>
              <w:right w:val="nil"/>
            </w:tcBorders>
            <w:shd w:val="clear" w:color="auto" w:fill="auto"/>
            <w:noWrap/>
            <w:vAlign w:val="bottom"/>
            <w:hideMark/>
          </w:tcPr>
          <w:p w14:paraId="40171C3E" w14:textId="77777777" w:rsidR="00153816" w:rsidRPr="00EE05AA" w:rsidRDefault="00153816" w:rsidP="006B1E56">
            <w:pPr>
              <w:rPr>
                <w:rFonts w:asciiTheme="majorHAnsi" w:hAnsiTheme="majorHAnsi"/>
              </w:rPr>
            </w:pPr>
            <w:r w:rsidRPr="00EE05AA">
              <w:rPr>
                <w:rFonts w:asciiTheme="majorHAnsi" w:hAnsiTheme="majorHAnsi"/>
              </w:rPr>
              <w:t>Not available</w:t>
            </w:r>
          </w:p>
        </w:tc>
        <w:tc>
          <w:tcPr>
            <w:tcW w:w="1738" w:type="dxa"/>
            <w:tcBorders>
              <w:top w:val="nil"/>
              <w:left w:val="nil"/>
              <w:bottom w:val="nil"/>
              <w:right w:val="nil"/>
            </w:tcBorders>
            <w:shd w:val="clear" w:color="auto" w:fill="auto"/>
            <w:noWrap/>
            <w:vAlign w:val="bottom"/>
            <w:hideMark/>
          </w:tcPr>
          <w:p w14:paraId="51A34473" w14:textId="77777777" w:rsidR="00153816" w:rsidRPr="00EE05AA" w:rsidRDefault="00153816" w:rsidP="006B1E56">
            <w:pPr>
              <w:rPr>
                <w:rFonts w:asciiTheme="majorHAnsi" w:hAnsiTheme="majorHAnsi"/>
              </w:rPr>
            </w:pPr>
            <w:r w:rsidRPr="00EE05AA">
              <w:rPr>
                <w:rFonts w:asciiTheme="majorHAnsi" w:hAnsiTheme="majorHAnsi"/>
              </w:rPr>
              <w:t>481</w:t>
            </w:r>
          </w:p>
        </w:tc>
        <w:tc>
          <w:tcPr>
            <w:tcW w:w="786" w:type="dxa"/>
            <w:tcBorders>
              <w:top w:val="nil"/>
              <w:left w:val="nil"/>
              <w:bottom w:val="nil"/>
              <w:right w:val="nil"/>
            </w:tcBorders>
            <w:shd w:val="clear" w:color="auto" w:fill="auto"/>
            <w:noWrap/>
            <w:vAlign w:val="bottom"/>
            <w:hideMark/>
          </w:tcPr>
          <w:p w14:paraId="7F85C604" w14:textId="77777777" w:rsidR="00153816" w:rsidRPr="00EE05AA" w:rsidRDefault="00153816" w:rsidP="006B1E56">
            <w:pPr>
              <w:jc w:val="center"/>
              <w:rPr>
                <w:rFonts w:asciiTheme="majorHAnsi" w:hAnsiTheme="majorHAnsi"/>
              </w:rPr>
            </w:pPr>
            <w:r w:rsidRPr="00EE05AA">
              <w:rPr>
                <w:rFonts w:asciiTheme="majorHAnsi" w:hAnsiTheme="majorHAnsi"/>
              </w:rPr>
              <w:t>370</w:t>
            </w:r>
          </w:p>
        </w:tc>
        <w:tc>
          <w:tcPr>
            <w:tcW w:w="786" w:type="dxa"/>
            <w:tcBorders>
              <w:top w:val="nil"/>
              <w:left w:val="nil"/>
              <w:bottom w:val="nil"/>
              <w:right w:val="nil"/>
            </w:tcBorders>
            <w:shd w:val="clear" w:color="auto" w:fill="auto"/>
            <w:noWrap/>
            <w:vAlign w:val="bottom"/>
            <w:hideMark/>
          </w:tcPr>
          <w:p w14:paraId="4A0A8A47" w14:textId="77777777" w:rsidR="00153816" w:rsidRPr="00EE05AA" w:rsidRDefault="00153816" w:rsidP="006B1E56">
            <w:pPr>
              <w:jc w:val="right"/>
              <w:rPr>
                <w:rFonts w:asciiTheme="majorHAnsi" w:hAnsiTheme="majorHAnsi"/>
              </w:rPr>
            </w:pPr>
            <w:r w:rsidRPr="00EE05AA">
              <w:rPr>
                <w:rFonts w:asciiTheme="majorHAnsi" w:hAnsiTheme="majorHAnsi"/>
              </w:rPr>
              <w:t>432</w:t>
            </w:r>
          </w:p>
        </w:tc>
        <w:tc>
          <w:tcPr>
            <w:tcW w:w="786" w:type="dxa"/>
            <w:tcBorders>
              <w:top w:val="nil"/>
              <w:left w:val="nil"/>
              <w:bottom w:val="nil"/>
              <w:right w:val="nil"/>
            </w:tcBorders>
            <w:shd w:val="clear" w:color="auto" w:fill="auto"/>
            <w:noWrap/>
            <w:vAlign w:val="bottom"/>
            <w:hideMark/>
          </w:tcPr>
          <w:p w14:paraId="1167A554" w14:textId="77777777" w:rsidR="00153816" w:rsidRPr="00EE05AA" w:rsidRDefault="00153816" w:rsidP="006B1E56">
            <w:pPr>
              <w:jc w:val="right"/>
              <w:rPr>
                <w:rFonts w:asciiTheme="majorHAnsi" w:hAnsiTheme="majorHAnsi"/>
              </w:rPr>
            </w:pPr>
          </w:p>
        </w:tc>
        <w:tc>
          <w:tcPr>
            <w:tcW w:w="786" w:type="dxa"/>
            <w:tcBorders>
              <w:top w:val="nil"/>
              <w:left w:val="nil"/>
              <w:bottom w:val="nil"/>
              <w:right w:val="nil"/>
            </w:tcBorders>
            <w:shd w:val="clear" w:color="auto" w:fill="auto"/>
            <w:noWrap/>
            <w:vAlign w:val="bottom"/>
            <w:hideMark/>
          </w:tcPr>
          <w:p w14:paraId="503E51B2"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01D0ECC3"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4717B92D" w14:textId="77777777" w:rsidR="00153816" w:rsidRPr="00EE05AA" w:rsidRDefault="00153816" w:rsidP="006B1E56">
            <w:pPr>
              <w:jc w:val="right"/>
              <w:rPr>
                <w:rFonts w:asciiTheme="majorHAnsi" w:hAnsiTheme="majorHAnsi"/>
              </w:rPr>
            </w:pPr>
            <w:r w:rsidRPr="00EE05AA">
              <w:rPr>
                <w:rFonts w:asciiTheme="majorHAnsi" w:hAnsiTheme="majorHAnsi"/>
              </w:rPr>
              <w:t>1283</w:t>
            </w:r>
          </w:p>
        </w:tc>
      </w:tr>
      <w:tr w:rsidR="00153816" w:rsidRPr="00EE05AA" w14:paraId="0473A84A" w14:textId="77777777" w:rsidTr="006B1E56">
        <w:trPr>
          <w:trHeight w:val="280"/>
        </w:trPr>
        <w:tc>
          <w:tcPr>
            <w:tcW w:w="284" w:type="dxa"/>
            <w:tcBorders>
              <w:top w:val="nil"/>
              <w:left w:val="nil"/>
              <w:bottom w:val="nil"/>
              <w:right w:val="nil"/>
            </w:tcBorders>
            <w:shd w:val="clear" w:color="auto" w:fill="auto"/>
            <w:noWrap/>
            <w:vAlign w:val="bottom"/>
            <w:hideMark/>
          </w:tcPr>
          <w:p w14:paraId="33FDA9E0" w14:textId="77777777" w:rsidR="00153816" w:rsidRPr="00EE05AA" w:rsidRDefault="00153816" w:rsidP="006B1E56">
            <w:pPr>
              <w:jc w:val="right"/>
              <w:rPr>
                <w:rFonts w:asciiTheme="majorHAnsi" w:hAnsiTheme="majorHAnsi"/>
              </w:rPr>
            </w:pPr>
          </w:p>
        </w:tc>
        <w:tc>
          <w:tcPr>
            <w:tcW w:w="3253" w:type="dxa"/>
            <w:tcBorders>
              <w:top w:val="nil"/>
              <w:left w:val="nil"/>
              <w:bottom w:val="nil"/>
              <w:right w:val="nil"/>
            </w:tcBorders>
            <w:shd w:val="clear" w:color="auto" w:fill="auto"/>
            <w:noWrap/>
            <w:vAlign w:val="bottom"/>
            <w:hideMark/>
          </w:tcPr>
          <w:p w14:paraId="256AC32E"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1738" w:type="dxa"/>
            <w:tcBorders>
              <w:top w:val="nil"/>
              <w:left w:val="nil"/>
              <w:bottom w:val="nil"/>
              <w:right w:val="nil"/>
            </w:tcBorders>
            <w:shd w:val="clear" w:color="auto" w:fill="auto"/>
            <w:noWrap/>
            <w:vAlign w:val="bottom"/>
            <w:hideMark/>
          </w:tcPr>
          <w:p w14:paraId="0BCE7629"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0A97AA16"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7764C164" w14:textId="77777777" w:rsidR="00153816" w:rsidRPr="00EE05AA" w:rsidRDefault="00153816" w:rsidP="006B1E56">
            <w:pPr>
              <w:rPr>
                <w:rFonts w:asciiTheme="majorHAnsi" w:hAnsiTheme="majorHAnsi"/>
              </w:rPr>
            </w:pPr>
          </w:p>
        </w:tc>
        <w:tc>
          <w:tcPr>
            <w:tcW w:w="786" w:type="dxa"/>
            <w:tcBorders>
              <w:top w:val="nil"/>
              <w:left w:val="nil"/>
              <w:bottom w:val="nil"/>
              <w:right w:val="nil"/>
            </w:tcBorders>
            <w:shd w:val="clear" w:color="auto" w:fill="auto"/>
            <w:noWrap/>
            <w:vAlign w:val="bottom"/>
            <w:hideMark/>
          </w:tcPr>
          <w:p w14:paraId="6F5C0A64"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786" w:type="dxa"/>
            <w:tcBorders>
              <w:top w:val="nil"/>
              <w:left w:val="nil"/>
              <w:bottom w:val="nil"/>
              <w:right w:val="nil"/>
            </w:tcBorders>
            <w:shd w:val="clear" w:color="auto" w:fill="auto"/>
            <w:noWrap/>
            <w:vAlign w:val="bottom"/>
            <w:hideMark/>
          </w:tcPr>
          <w:p w14:paraId="3907A247" w14:textId="77777777" w:rsidR="00153816" w:rsidRPr="00EE05AA" w:rsidRDefault="00153816" w:rsidP="006B1E56">
            <w:pPr>
              <w:jc w:val="right"/>
              <w:rPr>
                <w:rFonts w:asciiTheme="majorHAnsi" w:hAnsiTheme="majorHAnsi"/>
              </w:rPr>
            </w:pPr>
          </w:p>
        </w:tc>
        <w:tc>
          <w:tcPr>
            <w:tcW w:w="786" w:type="dxa"/>
            <w:tcBorders>
              <w:top w:val="nil"/>
              <w:left w:val="nil"/>
              <w:bottom w:val="nil"/>
              <w:right w:val="nil"/>
            </w:tcBorders>
            <w:shd w:val="clear" w:color="auto" w:fill="auto"/>
            <w:noWrap/>
            <w:vAlign w:val="bottom"/>
            <w:hideMark/>
          </w:tcPr>
          <w:p w14:paraId="74E952AF" w14:textId="77777777" w:rsidR="00153816" w:rsidRPr="00EE05AA" w:rsidRDefault="00153816" w:rsidP="006B1E56">
            <w:pPr>
              <w:rPr>
                <w:rFonts w:asciiTheme="majorHAnsi" w:hAnsiTheme="majorHAnsi"/>
              </w:rPr>
            </w:pPr>
          </w:p>
        </w:tc>
        <w:tc>
          <w:tcPr>
            <w:tcW w:w="1135" w:type="dxa"/>
            <w:tcBorders>
              <w:top w:val="nil"/>
              <w:left w:val="nil"/>
              <w:bottom w:val="nil"/>
              <w:right w:val="nil"/>
            </w:tcBorders>
            <w:shd w:val="clear" w:color="auto" w:fill="auto"/>
            <w:noWrap/>
            <w:vAlign w:val="bottom"/>
            <w:hideMark/>
          </w:tcPr>
          <w:p w14:paraId="3615FC0F" w14:textId="77777777" w:rsidR="00153816" w:rsidRPr="00EE05AA" w:rsidRDefault="00153816" w:rsidP="006B1E56">
            <w:pPr>
              <w:jc w:val="right"/>
              <w:rPr>
                <w:rFonts w:asciiTheme="majorHAnsi" w:hAnsiTheme="majorHAnsi"/>
              </w:rPr>
            </w:pPr>
            <w:r w:rsidRPr="00EE05AA">
              <w:rPr>
                <w:rFonts w:asciiTheme="majorHAnsi" w:hAnsiTheme="majorHAnsi"/>
              </w:rPr>
              <w:t>1</w:t>
            </w:r>
          </w:p>
        </w:tc>
      </w:tr>
      <w:tr w:rsidR="00153816" w:rsidRPr="00EE05AA" w14:paraId="68537F57" w14:textId="77777777" w:rsidTr="006B1E56">
        <w:trPr>
          <w:trHeight w:val="280"/>
        </w:trPr>
        <w:tc>
          <w:tcPr>
            <w:tcW w:w="284" w:type="dxa"/>
            <w:tcBorders>
              <w:top w:val="nil"/>
              <w:left w:val="nil"/>
              <w:bottom w:val="nil"/>
              <w:right w:val="nil"/>
            </w:tcBorders>
            <w:shd w:val="clear" w:color="auto" w:fill="auto"/>
            <w:noWrap/>
            <w:vAlign w:val="bottom"/>
            <w:hideMark/>
          </w:tcPr>
          <w:p w14:paraId="640BD461" w14:textId="77777777" w:rsidR="00153816" w:rsidRPr="00EE05AA" w:rsidRDefault="00153816" w:rsidP="006B1E56">
            <w:pPr>
              <w:jc w:val="right"/>
              <w:rPr>
                <w:rFonts w:asciiTheme="majorHAnsi" w:hAnsiTheme="majorHAnsi"/>
              </w:rPr>
            </w:pPr>
          </w:p>
        </w:tc>
        <w:tc>
          <w:tcPr>
            <w:tcW w:w="3253" w:type="dxa"/>
            <w:tcBorders>
              <w:top w:val="single" w:sz="4" w:space="0" w:color="8EA9DB"/>
              <w:left w:val="nil"/>
              <w:bottom w:val="nil"/>
              <w:right w:val="nil"/>
            </w:tcBorders>
            <w:shd w:val="clear" w:color="D9E1F2" w:fill="D9E1F2"/>
            <w:noWrap/>
            <w:vAlign w:val="bottom"/>
            <w:hideMark/>
          </w:tcPr>
          <w:p w14:paraId="34DF819A" w14:textId="77777777" w:rsidR="00153816" w:rsidRPr="00EE05AA" w:rsidRDefault="00153816" w:rsidP="006B1E56">
            <w:pPr>
              <w:rPr>
                <w:rFonts w:asciiTheme="majorHAnsi" w:hAnsiTheme="majorHAnsi"/>
                <w:b/>
                <w:bCs/>
              </w:rPr>
            </w:pPr>
            <w:r w:rsidRPr="00EE05AA">
              <w:rPr>
                <w:rFonts w:asciiTheme="majorHAnsi" w:hAnsiTheme="majorHAnsi"/>
                <w:b/>
                <w:bCs/>
              </w:rPr>
              <w:t>Grand Total</w:t>
            </w:r>
          </w:p>
        </w:tc>
        <w:tc>
          <w:tcPr>
            <w:tcW w:w="1738" w:type="dxa"/>
            <w:tcBorders>
              <w:top w:val="single" w:sz="4" w:space="0" w:color="8EA9DB"/>
              <w:left w:val="nil"/>
              <w:bottom w:val="nil"/>
              <w:right w:val="nil"/>
            </w:tcBorders>
            <w:shd w:val="clear" w:color="D9E1F2" w:fill="D9E1F2"/>
            <w:noWrap/>
            <w:vAlign w:val="bottom"/>
            <w:hideMark/>
          </w:tcPr>
          <w:p w14:paraId="7D7BCE27" w14:textId="77777777" w:rsidR="00153816" w:rsidRPr="00EE05AA" w:rsidRDefault="00153816" w:rsidP="006B1E56">
            <w:pPr>
              <w:rPr>
                <w:rFonts w:asciiTheme="majorHAnsi" w:hAnsiTheme="majorHAnsi"/>
                <w:b/>
                <w:bCs/>
              </w:rPr>
            </w:pPr>
            <w:r w:rsidRPr="00EE05AA">
              <w:rPr>
                <w:rFonts w:asciiTheme="majorHAnsi" w:hAnsiTheme="majorHAnsi"/>
                <w:b/>
                <w:bCs/>
              </w:rPr>
              <w:t>481</w:t>
            </w:r>
          </w:p>
        </w:tc>
        <w:tc>
          <w:tcPr>
            <w:tcW w:w="786" w:type="dxa"/>
            <w:tcBorders>
              <w:top w:val="single" w:sz="4" w:space="0" w:color="8EA9DB"/>
              <w:left w:val="nil"/>
              <w:bottom w:val="nil"/>
              <w:right w:val="nil"/>
            </w:tcBorders>
            <w:shd w:val="clear" w:color="D9E1F2" w:fill="D9E1F2"/>
            <w:noWrap/>
            <w:vAlign w:val="bottom"/>
            <w:hideMark/>
          </w:tcPr>
          <w:p w14:paraId="11A0ACE0" w14:textId="77777777" w:rsidR="00153816" w:rsidRPr="00EE05AA" w:rsidRDefault="00153816" w:rsidP="006B1E56">
            <w:pPr>
              <w:jc w:val="center"/>
              <w:rPr>
                <w:rFonts w:asciiTheme="majorHAnsi" w:hAnsiTheme="majorHAnsi"/>
                <w:b/>
                <w:bCs/>
              </w:rPr>
            </w:pPr>
            <w:r w:rsidRPr="00EE05AA">
              <w:rPr>
                <w:rFonts w:asciiTheme="majorHAnsi" w:hAnsiTheme="majorHAnsi"/>
                <w:b/>
                <w:bCs/>
              </w:rPr>
              <w:t>370</w:t>
            </w:r>
          </w:p>
        </w:tc>
        <w:tc>
          <w:tcPr>
            <w:tcW w:w="786" w:type="dxa"/>
            <w:tcBorders>
              <w:top w:val="single" w:sz="4" w:space="0" w:color="8EA9DB"/>
              <w:left w:val="nil"/>
              <w:bottom w:val="nil"/>
              <w:right w:val="nil"/>
            </w:tcBorders>
            <w:shd w:val="clear" w:color="D9E1F2" w:fill="D9E1F2"/>
            <w:noWrap/>
            <w:vAlign w:val="bottom"/>
            <w:hideMark/>
          </w:tcPr>
          <w:p w14:paraId="5C14C6D8" w14:textId="77777777" w:rsidR="00153816" w:rsidRPr="00EE05AA" w:rsidRDefault="00153816" w:rsidP="006B1E56">
            <w:pPr>
              <w:jc w:val="right"/>
              <w:rPr>
                <w:rFonts w:asciiTheme="majorHAnsi" w:hAnsiTheme="majorHAnsi"/>
                <w:b/>
                <w:bCs/>
              </w:rPr>
            </w:pPr>
            <w:r w:rsidRPr="00EE05AA">
              <w:rPr>
                <w:rFonts w:asciiTheme="majorHAnsi" w:hAnsiTheme="majorHAnsi"/>
                <w:b/>
                <w:bCs/>
              </w:rPr>
              <w:t>432</w:t>
            </w:r>
          </w:p>
        </w:tc>
        <w:tc>
          <w:tcPr>
            <w:tcW w:w="786" w:type="dxa"/>
            <w:tcBorders>
              <w:top w:val="single" w:sz="4" w:space="0" w:color="8EA9DB"/>
              <w:left w:val="nil"/>
              <w:bottom w:val="nil"/>
              <w:right w:val="nil"/>
            </w:tcBorders>
            <w:shd w:val="clear" w:color="D9E1F2" w:fill="D9E1F2"/>
            <w:noWrap/>
            <w:vAlign w:val="bottom"/>
            <w:hideMark/>
          </w:tcPr>
          <w:p w14:paraId="241D3286" w14:textId="77777777" w:rsidR="00153816" w:rsidRPr="00EE05AA" w:rsidRDefault="00153816" w:rsidP="006B1E56">
            <w:pPr>
              <w:jc w:val="right"/>
              <w:rPr>
                <w:rFonts w:asciiTheme="majorHAnsi" w:hAnsiTheme="majorHAnsi"/>
                <w:b/>
                <w:bCs/>
              </w:rPr>
            </w:pPr>
            <w:r w:rsidRPr="00EE05AA">
              <w:rPr>
                <w:rFonts w:asciiTheme="majorHAnsi" w:hAnsiTheme="majorHAnsi"/>
                <w:b/>
                <w:bCs/>
              </w:rPr>
              <w:t>280</w:t>
            </w:r>
          </w:p>
        </w:tc>
        <w:tc>
          <w:tcPr>
            <w:tcW w:w="786" w:type="dxa"/>
            <w:tcBorders>
              <w:top w:val="single" w:sz="4" w:space="0" w:color="8EA9DB"/>
              <w:left w:val="nil"/>
              <w:bottom w:val="nil"/>
              <w:right w:val="nil"/>
            </w:tcBorders>
            <w:shd w:val="clear" w:color="D9E1F2" w:fill="D9E1F2"/>
            <w:noWrap/>
            <w:vAlign w:val="bottom"/>
            <w:hideMark/>
          </w:tcPr>
          <w:p w14:paraId="0F28014B" w14:textId="77777777" w:rsidR="00153816" w:rsidRPr="00EE05AA" w:rsidRDefault="00153816" w:rsidP="006B1E56">
            <w:pPr>
              <w:jc w:val="right"/>
              <w:rPr>
                <w:rFonts w:asciiTheme="majorHAnsi" w:hAnsiTheme="majorHAnsi"/>
                <w:b/>
                <w:bCs/>
              </w:rPr>
            </w:pPr>
            <w:r w:rsidRPr="00EE05AA">
              <w:rPr>
                <w:rFonts w:asciiTheme="majorHAnsi" w:hAnsiTheme="majorHAnsi"/>
                <w:b/>
                <w:bCs/>
              </w:rPr>
              <w:t>212</w:t>
            </w:r>
          </w:p>
        </w:tc>
        <w:tc>
          <w:tcPr>
            <w:tcW w:w="786" w:type="dxa"/>
            <w:tcBorders>
              <w:top w:val="single" w:sz="4" w:space="0" w:color="8EA9DB"/>
              <w:left w:val="nil"/>
              <w:bottom w:val="nil"/>
              <w:right w:val="nil"/>
            </w:tcBorders>
            <w:shd w:val="clear" w:color="D9E1F2" w:fill="D9E1F2"/>
            <w:noWrap/>
            <w:vAlign w:val="bottom"/>
            <w:hideMark/>
          </w:tcPr>
          <w:p w14:paraId="0CC66015" w14:textId="77777777" w:rsidR="00153816" w:rsidRPr="00EE05AA" w:rsidRDefault="00153816" w:rsidP="006B1E56">
            <w:pPr>
              <w:jc w:val="right"/>
              <w:rPr>
                <w:rFonts w:asciiTheme="majorHAnsi" w:hAnsiTheme="majorHAnsi"/>
                <w:b/>
                <w:bCs/>
              </w:rPr>
            </w:pPr>
            <w:r w:rsidRPr="00EE05AA">
              <w:rPr>
                <w:rFonts w:asciiTheme="majorHAnsi" w:hAnsiTheme="majorHAnsi"/>
                <w:b/>
                <w:bCs/>
              </w:rPr>
              <w:t>200</w:t>
            </w:r>
          </w:p>
        </w:tc>
        <w:tc>
          <w:tcPr>
            <w:tcW w:w="1135" w:type="dxa"/>
            <w:tcBorders>
              <w:top w:val="single" w:sz="4" w:space="0" w:color="8EA9DB"/>
              <w:left w:val="nil"/>
              <w:bottom w:val="nil"/>
              <w:right w:val="nil"/>
            </w:tcBorders>
            <w:shd w:val="clear" w:color="D9E1F2" w:fill="D9E1F2"/>
            <w:noWrap/>
            <w:vAlign w:val="bottom"/>
            <w:hideMark/>
          </w:tcPr>
          <w:p w14:paraId="3160C432" w14:textId="77777777" w:rsidR="00153816" w:rsidRPr="00EE05AA" w:rsidRDefault="00153816" w:rsidP="006B1E56">
            <w:pPr>
              <w:jc w:val="right"/>
              <w:rPr>
                <w:rFonts w:asciiTheme="majorHAnsi" w:hAnsiTheme="majorHAnsi"/>
                <w:b/>
                <w:bCs/>
              </w:rPr>
            </w:pPr>
            <w:r w:rsidRPr="00EE05AA">
              <w:rPr>
                <w:rFonts w:asciiTheme="majorHAnsi" w:hAnsiTheme="majorHAnsi"/>
                <w:b/>
                <w:bCs/>
              </w:rPr>
              <w:t>1975</w:t>
            </w:r>
          </w:p>
        </w:tc>
      </w:tr>
    </w:tbl>
    <w:p w14:paraId="664909E4" w14:textId="77777777" w:rsidR="00153816" w:rsidRDefault="00153816" w:rsidP="00153816">
      <w:pPr>
        <w:rPr>
          <w:rFonts w:asciiTheme="majorHAnsi" w:hAnsiTheme="majorHAnsi"/>
        </w:rPr>
      </w:pPr>
    </w:p>
    <w:p w14:paraId="1B0D4F24" w14:textId="77777777" w:rsidR="00153816" w:rsidRPr="00D74B76" w:rsidRDefault="00153816" w:rsidP="00153816">
      <w:pPr>
        <w:rPr>
          <w:rFonts w:asciiTheme="majorHAnsi" w:hAnsiTheme="majorHAnsi"/>
        </w:rPr>
      </w:pPr>
    </w:p>
    <w:p w14:paraId="68A1CD5A" w14:textId="77777777" w:rsidR="00153816" w:rsidRPr="00D74B76" w:rsidRDefault="00153816" w:rsidP="00153816">
      <w:pPr>
        <w:rPr>
          <w:rFonts w:asciiTheme="majorHAnsi" w:hAnsiTheme="majorHAnsi"/>
        </w:rPr>
      </w:pPr>
    </w:p>
    <w:p w14:paraId="224FD528" w14:textId="77777777" w:rsidR="00153816" w:rsidRPr="00D74B76" w:rsidRDefault="00153816" w:rsidP="00153816">
      <w:pPr>
        <w:rPr>
          <w:rFonts w:asciiTheme="majorHAnsi" w:hAnsiTheme="majorHAnsi"/>
        </w:rPr>
      </w:pPr>
      <w:r w:rsidRPr="00D74B76">
        <w:rPr>
          <w:rFonts w:asciiTheme="majorHAnsi" w:hAnsiTheme="majorHAnsi"/>
        </w:rPr>
        <w:t xml:space="preserve">The next table summarises the outcomes, or disposals, associated with local offending for recent years. </w:t>
      </w:r>
    </w:p>
    <w:p w14:paraId="6BB122BD" w14:textId="77777777" w:rsidR="00153816" w:rsidRPr="00D74B76" w:rsidRDefault="00153816" w:rsidP="00153816">
      <w:pPr>
        <w:rPr>
          <w:rFonts w:asciiTheme="majorHAnsi" w:hAnsiTheme="majorHAnsi"/>
        </w:rPr>
      </w:pPr>
    </w:p>
    <w:p w14:paraId="058EAA3E" w14:textId="77777777" w:rsidR="00153816" w:rsidRPr="00EE05AA" w:rsidRDefault="00153816" w:rsidP="00153816">
      <w:pPr>
        <w:rPr>
          <w:rFonts w:asciiTheme="majorHAnsi" w:hAnsiTheme="majorHAnsi"/>
        </w:rPr>
      </w:pPr>
    </w:p>
    <w:p w14:paraId="4D25D07C" w14:textId="1657B7D6" w:rsidR="00153816" w:rsidRDefault="00153816" w:rsidP="00153816">
      <w:pPr>
        <w:rPr>
          <w:rFonts w:asciiTheme="majorHAnsi" w:hAnsiTheme="majorHAnsi"/>
        </w:rPr>
      </w:pPr>
    </w:p>
    <w:p w14:paraId="3E343E1F" w14:textId="0C8809BE" w:rsidR="0080697E" w:rsidRDefault="0080697E" w:rsidP="00153816">
      <w:pPr>
        <w:rPr>
          <w:rFonts w:asciiTheme="majorHAnsi" w:hAnsiTheme="majorHAnsi"/>
        </w:rPr>
      </w:pPr>
    </w:p>
    <w:p w14:paraId="59EA80C9" w14:textId="77777777" w:rsidR="0080697E" w:rsidRPr="00EE05AA" w:rsidRDefault="0080697E" w:rsidP="00153816">
      <w:pPr>
        <w:rPr>
          <w:rFonts w:asciiTheme="majorHAnsi" w:hAnsiTheme="majorHAnsi"/>
        </w:rPr>
      </w:pPr>
    </w:p>
    <w:tbl>
      <w:tblPr>
        <w:tblpPr w:leftFromText="180" w:rightFromText="180" w:vertAnchor="text" w:horzAnchor="page" w:tblpX="1" w:tblpY="252"/>
        <w:tblW w:w="20665" w:type="dxa"/>
        <w:tblLook w:val="04A0" w:firstRow="1" w:lastRow="0" w:firstColumn="1" w:lastColumn="0" w:noHBand="0" w:noVBand="1"/>
      </w:tblPr>
      <w:tblGrid>
        <w:gridCol w:w="284"/>
        <w:gridCol w:w="1865"/>
        <w:gridCol w:w="1701"/>
        <w:gridCol w:w="284"/>
        <w:gridCol w:w="141"/>
        <w:gridCol w:w="426"/>
        <w:gridCol w:w="1275"/>
        <w:gridCol w:w="284"/>
        <w:gridCol w:w="142"/>
        <w:gridCol w:w="708"/>
        <w:gridCol w:w="993"/>
        <w:gridCol w:w="283"/>
        <w:gridCol w:w="236"/>
        <w:gridCol w:w="236"/>
        <w:gridCol w:w="237"/>
        <w:gridCol w:w="142"/>
        <w:gridCol w:w="1559"/>
        <w:gridCol w:w="2368"/>
        <w:gridCol w:w="236"/>
        <w:gridCol w:w="236"/>
        <w:gridCol w:w="3365"/>
        <w:gridCol w:w="1846"/>
        <w:gridCol w:w="1818"/>
      </w:tblGrid>
      <w:tr w:rsidR="00153816" w:rsidRPr="00EE05AA" w14:paraId="7E9F23E0" w14:textId="77777777" w:rsidTr="006B1E56">
        <w:trPr>
          <w:trHeight w:val="255"/>
        </w:trPr>
        <w:tc>
          <w:tcPr>
            <w:tcW w:w="284" w:type="dxa"/>
            <w:tcBorders>
              <w:top w:val="nil"/>
              <w:left w:val="nil"/>
              <w:bottom w:val="nil"/>
              <w:right w:val="nil"/>
            </w:tcBorders>
            <w:shd w:val="clear" w:color="auto" w:fill="auto"/>
            <w:noWrap/>
            <w:vAlign w:val="bottom"/>
            <w:hideMark/>
          </w:tcPr>
          <w:p w14:paraId="3EBBF538" w14:textId="77777777" w:rsidR="00153816" w:rsidRPr="004E078B" w:rsidRDefault="00153816" w:rsidP="006B1E56">
            <w:pPr>
              <w:rPr>
                <w:rFonts w:asciiTheme="majorHAnsi" w:hAnsiTheme="majorHAnsi"/>
              </w:rPr>
            </w:pPr>
          </w:p>
        </w:tc>
        <w:tc>
          <w:tcPr>
            <w:tcW w:w="18563" w:type="dxa"/>
            <w:gridSpan w:val="21"/>
            <w:tcBorders>
              <w:top w:val="nil"/>
              <w:left w:val="nil"/>
              <w:bottom w:val="nil"/>
              <w:right w:val="nil"/>
            </w:tcBorders>
            <w:shd w:val="clear" w:color="auto" w:fill="auto"/>
            <w:noWrap/>
            <w:vAlign w:val="bottom"/>
            <w:hideMark/>
          </w:tcPr>
          <w:p w14:paraId="4BBB4CD2" w14:textId="77777777" w:rsidR="00153816" w:rsidRPr="004E078B" w:rsidRDefault="00153816" w:rsidP="006B1E56">
            <w:pPr>
              <w:rPr>
                <w:rFonts w:asciiTheme="majorHAnsi" w:hAnsiTheme="majorHAnsi"/>
                <w:b/>
                <w:bCs/>
              </w:rPr>
            </w:pPr>
            <w:proofErr w:type="gramStart"/>
            <w:r w:rsidRPr="004E078B">
              <w:rPr>
                <w:rFonts w:asciiTheme="majorHAnsi" w:hAnsiTheme="majorHAnsi"/>
                <w:b/>
                <w:bCs/>
              </w:rPr>
              <w:t>Outcomes  Table</w:t>
            </w:r>
            <w:proofErr w:type="gramEnd"/>
            <w:r w:rsidRPr="004E078B">
              <w:rPr>
                <w:rFonts w:asciiTheme="majorHAnsi" w:hAnsiTheme="majorHAnsi"/>
                <w:b/>
                <w:bCs/>
              </w:rPr>
              <w:t>: The number of youth cautions or sentences given to children, years ending March 2014 to 2019</w:t>
            </w:r>
          </w:p>
        </w:tc>
        <w:tc>
          <w:tcPr>
            <w:tcW w:w="1818" w:type="dxa"/>
            <w:tcBorders>
              <w:top w:val="nil"/>
              <w:left w:val="nil"/>
              <w:bottom w:val="nil"/>
              <w:right w:val="nil"/>
            </w:tcBorders>
            <w:shd w:val="clear" w:color="auto" w:fill="auto"/>
            <w:noWrap/>
            <w:vAlign w:val="bottom"/>
            <w:hideMark/>
          </w:tcPr>
          <w:p w14:paraId="6B7EE835" w14:textId="77777777" w:rsidR="00153816" w:rsidRPr="00EE05AA" w:rsidRDefault="00153816" w:rsidP="006B1E56">
            <w:pPr>
              <w:rPr>
                <w:rFonts w:asciiTheme="majorHAnsi" w:hAnsiTheme="majorHAnsi"/>
                <w:b/>
                <w:bCs/>
              </w:rPr>
            </w:pPr>
          </w:p>
        </w:tc>
      </w:tr>
      <w:tr w:rsidR="00153816" w:rsidRPr="00EE05AA" w14:paraId="0D502A5F" w14:textId="77777777" w:rsidTr="006B1E56">
        <w:trPr>
          <w:trHeight w:val="255"/>
        </w:trPr>
        <w:tc>
          <w:tcPr>
            <w:tcW w:w="284" w:type="dxa"/>
            <w:tcBorders>
              <w:top w:val="nil"/>
              <w:left w:val="nil"/>
              <w:bottom w:val="nil"/>
              <w:right w:val="nil"/>
            </w:tcBorders>
            <w:shd w:val="clear" w:color="auto" w:fill="auto"/>
            <w:noWrap/>
            <w:vAlign w:val="bottom"/>
            <w:hideMark/>
          </w:tcPr>
          <w:p w14:paraId="3A30347F" w14:textId="77777777" w:rsidR="00153816" w:rsidRPr="00EE05AA" w:rsidRDefault="00153816" w:rsidP="006B1E56">
            <w:pPr>
              <w:rPr>
                <w:rFonts w:asciiTheme="majorHAnsi" w:hAnsiTheme="majorHAnsi"/>
              </w:rPr>
            </w:pPr>
          </w:p>
        </w:tc>
        <w:tc>
          <w:tcPr>
            <w:tcW w:w="3850" w:type="dxa"/>
            <w:gridSpan w:val="3"/>
            <w:tcBorders>
              <w:top w:val="nil"/>
              <w:left w:val="nil"/>
              <w:bottom w:val="nil"/>
              <w:right w:val="nil"/>
            </w:tcBorders>
            <w:shd w:val="clear" w:color="auto" w:fill="auto"/>
            <w:noWrap/>
            <w:vAlign w:val="bottom"/>
            <w:hideMark/>
          </w:tcPr>
          <w:p w14:paraId="665ACA2B" w14:textId="77777777" w:rsidR="00153816" w:rsidRPr="00EE05AA" w:rsidRDefault="00153816" w:rsidP="006B1E56">
            <w:pPr>
              <w:rPr>
                <w:rFonts w:asciiTheme="majorHAnsi" w:hAnsiTheme="majorHAnsi"/>
              </w:rPr>
            </w:pPr>
          </w:p>
        </w:tc>
        <w:tc>
          <w:tcPr>
            <w:tcW w:w="4252" w:type="dxa"/>
            <w:gridSpan w:val="8"/>
            <w:tcBorders>
              <w:top w:val="nil"/>
              <w:left w:val="nil"/>
              <w:bottom w:val="nil"/>
              <w:right w:val="nil"/>
            </w:tcBorders>
            <w:shd w:val="clear" w:color="auto" w:fill="auto"/>
            <w:noWrap/>
            <w:vAlign w:val="bottom"/>
            <w:hideMark/>
          </w:tcPr>
          <w:p w14:paraId="440AD240"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6E30BA0A" w14:textId="77777777" w:rsidR="00153816" w:rsidRPr="00EE05AA" w:rsidRDefault="00153816" w:rsidP="006B1E56">
            <w:pPr>
              <w:rPr>
                <w:rFonts w:asciiTheme="majorHAnsi" w:hAnsiTheme="majorHAnsi"/>
              </w:rPr>
            </w:pPr>
          </w:p>
        </w:tc>
        <w:tc>
          <w:tcPr>
            <w:tcW w:w="4542" w:type="dxa"/>
            <w:gridSpan w:val="5"/>
            <w:tcBorders>
              <w:top w:val="nil"/>
              <w:left w:val="nil"/>
              <w:bottom w:val="nil"/>
              <w:right w:val="nil"/>
            </w:tcBorders>
            <w:shd w:val="clear" w:color="auto" w:fill="auto"/>
            <w:noWrap/>
            <w:vAlign w:val="bottom"/>
            <w:hideMark/>
          </w:tcPr>
          <w:p w14:paraId="5E5DF4D6"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5586A276"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29137836" w14:textId="77777777" w:rsidR="00153816" w:rsidRPr="00EE05AA" w:rsidRDefault="00153816" w:rsidP="006B1E56">
            <w:pPr>
              <w:rPr>
                <w:rFonts w:asciiTheme="majorHAnsi" w:hAnsiTheme="majorHAnsi"/>
              </w:rPr>
            </w:pPr>
          </w:p>
        </w:tc>
        <w:tc>
          <w:tcPr>
            <w:tcW w:w="3365" w:type="dxa"/>
            <w:tcBorders>
              <w:top w:val="nil"/>
              <w:left w:val="nil"/>
              <w:bottom w:val="nil"/>
              <w:right w:val="nil"/>
            </w:tcBorders>
            <w:shd w:val="clear" w:color="auto" w:fill="auto"/>
            <w:noWrap/>
            <w:vAlign w:val="bottom"/>
            <w:hideMark/>
          </w:tcPr>
          <w:p w14:paraId="6AF7864F" w14:textId="77777777" w:rsidR="00153816" w:rsidRPr="00EE05AA" w:rsidRDefault="00153816" w:rsidP="006B1E56">
            <w:pPr>
              <w:rPr>
                <w:rFonts w:asciiTheme="majorHAnsi" w:hAnsiTheme="majorHAnsi"/>
              </w:rPr>
            </w:pPr>
          </w:p>
        </w:tc>
        <w:tc>
          <w:tcPr>
            <w:tcW w:w="1846" w:type="dxa"/>
            <w:tcBorders>
              <w:top w:val="nil"/>
              <w:left w:val="nil"/>
              <w:bottom w:val="nil"/>
              <w:right w:val="nil"/>
            </w:tcBorders>
            <w:shd w:val="clear" w:color="auto" w:fill="auto"/>
            <w:noWrap/>
            <w:vAlign w:val="bottom"/>
            <w:hideMark/>
          </w:tcPr>
          <w:p w14:paraId="34E8649C" w14:textId="77777777" w:rsidR="00153816" w:rsidRPr="00EE05AA" w:rsidRDefault="00153816" w:rsidP="006B1E56">
            <w:pPr>
              <w:rPr>
                <w:rFonts w:asciiTheme="majorHAnsi" w:hAnsiTheme="majorHAnsi"/>
              </w:rPr>
            </w:pPr>
          </w:p>
        </w:tc>
        <w:tc>
          <w:tcPr>
            <w:tcW w:w="1818" w:type="dxa"/>
            <w:tcBorders>
              <w:top w:val="nil"/>
              <w:left w:val="nil"/>
              <w:bottom w:val="nil"/>
              <w:right w:val="nil"/>
            </w:tcBorders>
            <w:shd w:val="clear" w:color="auto" w:fill="auto"/>
            <w:noWrap/>
            <w:vAlign w:val="bottom"/>
            <w:hideMark/>
          </w:tcPr>
          <w:p w14:paraId="52687B54" w14:textId="77777777" w:rsidR="00153816" w:rsidRPr="00EE05AA" w:rsidRDefault="00153816" w:rsidP="006B1E56">
            <w:pPr>
              <w:rPr>
                <w:rFonts w:asciiTheme="majorHAnsi" w:hAnsiTheme="majorHAnsi"/>
              </w:rPr>
            </w:pPr>
          </w:p>
        </w:tc>
      </w:tr>
      <w:tr w:rsidR="00153816" w:rsidRPr="00EE05AA" w14:paraId="09FD8B11" w14:textId="77777777" w:rsidTr="006B1E56">
        <w:trPr>
          <w:trHeight w:val="280"/>
        </w:trPr>
        <w:tc>
          <w:tcPr>
            <w:tcW w:w="284" w:type="dxa"/>
            <w:tcBorders>
              <w:top w:val="nil"/>
              <w:left w:val="nil"/>
              <w:bottom w:val="nil"/>
              <w:right w:val="nil"/>
            </w:tcBorders>
            <w:shd w:val="clear" w:color="auto" w:fill="auto"/>
            <w:noWrap/>
            <w:vAlign w:val="bottom"/>
            <w:hideMark/>
          </w:tcPr>
          <w:p w14:paraId="577644B8" w14:textId="77777777" w:rsidR="00153816" w:rsidRPr="00EE05AA" w:rsidRDefault="00153816" w:rsidP="006B1E56">
            <w:pPr>
              <w:rPr>
                <w:rFonts w:asciiTheme="majorHAnsi" w:hAnsiTheme="majorHAnsi"/>
              </w:rPr>
            </w:pPr>
          </w:p>
        </w:tc>
        <w:tc>
          <w:tcPr>
            <w:tcW w:w="3850" w:type="dxa"/>
            <w:gridSpan w:val="3"/>
            <w:tcBorders>
              <w:top w:val="nil"/>
              <w:left w:val="nil"/>
              <w:bottom w:val="nil"/>
              <w:right w:val="nil"/>
            </w:tcBorders>
            <w:shd w:val="clear" w:color="D9E1F2" w:fill="D9E1F2"/>
            <w:noWrap/>
            <w:vAlign w:val="bottom"/>
            <w:hideMark/>
          </w:tcPr>
          <w:p w14:paraId="6F37283F" w14:textId="77777777" w:rsidR="00153816" w:rsidRPr="00EE05AA" w:rsidRDefault="00153816" w:rsidP="006B1E56">
            <w:pPr>
              <w:rPr>
                <w:rFonts w:asciiTheme="majorHAnsi" w:hAnsiTheme="majorHAnsi"/>
              </w:rPr>
            </w:pPr>
            <w:r w:rsidRPr="00EE05AA">
              <w:rPr>
                <w:rFonts w:asciiTheme="majorHAnsi" w:hAnsiTheme="majorHAnsi"/>
              </w:rPr>
              <w:t>YOT</w:t>
            </w:r>
          </w:p>
        </w:tc>
        <w:tc>
          <w:tcPr>
            <w:tcW w:w="4252" w:type="dxa"/>
            <w:gridSpan w:val="8"/>
            <w:tcBorders>
              <w:top w:val="nil"/>
              <w:left w:val="nil"/>
              <w:bottom w:val="nil"/>
              <w:right w:val="nil"/>
            </w:tcBorders>
            <w:shd w:val="clear" w:color="D9E1F2" w:fill="D9E1F2"/>
            <w:noWrap/>
            <w:vAlign w:val="bottom"/>
            <w:hideMark/>
          </w:tcPr>
          <w:p w14:paraId="320FFE2F"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236" w:type="dxa"/>
            <w:tcBorders>
              <w:top w:val="nil"/>
              <w:left w:val="nil"/>
              <w:bottom w:val="nil"/>
              <w:right w:val="nil"/>
            </w:tcBorders>
            <w:shd w:val="clear" w:color="auto" w:fill="auto"/>
            <w:noWrap/>
            <w:vAlign w:val="bottom"/>
            <w:hideMark/>
          </w:tcPr>
          <w:p w14:paraId="2A97304F" w14:textId="77777777" w:rsidR="00153816" w:rsidRPr="00EE05AA" w:rsidRDefault="00153816" w:rsidP="006B1E56">
            <w:pPr>
              <w:rPr>
                <w:rFonts w:asciiTheme="majorHAnsi" w:hAnsiTheme="majorHAnsi"/>
              </w:rPr>
            </w:pPr>
          </w:p>
        </w:tc>
        <w:tc>
          <w:tcPr>
            <w:tcW w:w="4542" w:type="dxa"/>
            <w:gridSpan w:val="5"/>
            <w:tcBorders>
              <w:top w:val="nil"/>
              <w:left w:val="nil"/>
              <w:bottom w:val="nil"/>
              <w:right w:val="nil"/>
            </w:tcBorders>
            <w:shd w:val="clear" w:color="auto" w:fill="auto"/>
            <w:noWrap/>
            <w:vAlign w:val="bottom"/>
            <w:hideMark/>
          </w:tcPr>
          <w:p w14:paraId="05251B5F"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7B97C8BA"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08FC70C6" w14:textId="77777777" w:rsidR="00153816" w:rsidRPr="00EE05AA" w:rsidRDefault="00153816" w:rsidP="006B1E56">
            <w:pPr>
              <w:rPr>
                <w:rFonts w:asciiTheme="majorHAnsi" w:hAnsiTheme="majorHAnsi"/>
              </w:rPr>
            </w:pPr>
          </w:p>
        </w:tc>
        <w:tc>
          <w:tcPr>
            <w:tcW w:w="3365" w:type="dxa"/>
            <w:tcBorders>
              <w:top w:val="nil"/>
              <w:left w:val="nil"/>
              <w:bottom w:val="nil"/>
              <w:right w:val="nil"/>
            </w:tcBorders>
            <w:shd w:val="clear" w:color="auto" w:fill="auto"/>
            <w:noWrap/>
            <w:vAlign w:val="bottom"/>
            <w:hideMark/>
          </w:tcPr>
          <w:p w14:paraId="577F104E" w14:textId="77777777" w:rsidR="00153816" w:rsidRPr="00EE05AA" w:rsidRDefault="00153816" w:rsidP="006B1E56">
            <w:pPr>
              <w:rPr>
                <w:rFonts w:asciiTheme="majorHAnsi" w:hAnsiTheme="majorHAnsi"/>
              </w:rPr>
            </w:pPr>
          </w:p>
        </w:tc>
        <w:tc>
          <w:tcPr>
            <w:tcW w:w="1846" w:type="dxa"/>
            <w:tcBorders>
              <w:top w:val="nil"/>
              <w:left w:val="nil"/>
              <w:bottom w:val="nil"/>
              <w:right w:val="nil"/>
            </w:tcBorders>
            <w:shd w:val="clear" w:color="auto" w:fill="auto"/>
            <w:noWrap/>
            <w:vAlign w:val="bottom"/>
            <w:hideMark/>
          </w:tcPr>
          <w:p w14:paraId="40A158E7" w14:textId="77777777" w:rsidR="00153816" w:rsidRPr="00EE05AA" w:rsidRDefault="00153816" w:rsidP="006B1E56">
            <w:pPr>
              <w:rPr>
                <w:rFonts w:asciiTheme="majorHAnsi" w:hAnsiTheme="majorHAnsi"/>
              </w:rPr>
            </w:pPr>
          </w:p>
        </w:tc>
        <w:tc>
          <w:tcPr>
            <w:tcW w:w="1818" w:type="dxa"/>
            <w:tcBorders>
              <w:top w:val="nil"/>
              <w:left w:val="nil"/>
              <w:bottom w:val="nil"/>
              <w:right w:val="nil"/>
            </w:tcBorders>
            <w:shd w:val="clear" w:color="auto" w:fill="auto"/>
            <w:noWrap/>
            <w:vAlign w:val="bottom"/>
            <w:hideMark/>
          </w:tcPr>
          <w:p w14:paraId="08DC6439" w14:textId="77777777" w:rsidR="00153816" w:rsidRPr="00EE05AA" w:rsidRDefault="00153816" w:rsidP="006B1E56">
            <w:pPr>
              <w:rPr>
                <w:rFonts w:asciiTheme="majorHAnsi" w:hAnsiTheme="majorHAnsi"/>
              </w:rPr>
            </w:pPr>
          </w:p>
        </w:tc>
      </w:tr>
      <w:tr w:rsidR="00153816" w:rsidRPr="00EE05AA" w14:paraId="1D5C4101" w14:textId="77777777" w:rsidTr="006B1E56">
        <w:trPr>
          <w:trHeight w:val="280"/>
        </w:trPr>
        <w:tc>
          <w:tcPr>
            <w:tcW w:w="284" w:type="dxa"/>
            <w:tcBorders>
              <w:top w:val="nil"/>
              <w:left w:val="nil"/>
              <w:bottom w:val="nil"/>
              <w:right w:val="nil"/>
            </w:tcBorders>
            <w:shd w:val="clear" w:color="auto" w:fill="auto"/>
            <w:noWrap/>
            <w:vAlign w:val="bottom"/>
            <w:hideMark/>
          </w:tcPr>
          <w:p w14:paraId="5ECCD308" w14:textId="77777777" w:rsidR="00153816" w:rsidRPr="00EE05AA" w:rsidRDefault="00153816" w:rsidP="006B1E56">
            <w:pPr>
              <w:rPr>
                <w:rFonts w:asciiTheme="majorHAnsi" w:hAnsiTheme="majorHAnsi"/>
              </w:rPr>
            </w:pPr>
          </w:p>
        </w:tc>
        <w:tc>
          <w:tcPr>
            <w:tcW w:w="3850" w:type="dxa"/>
            <w:gridSpan w:val="3"/>
            <w:tcBorders>
              <w:top w:val="nil"/>
              <w:left w:val="nil"/>
              <w:bottom w:val="nil"/>
              <w:right w:val="nil"/>
            </w:tcBorders>
            <w:shd w:val="clear" w:color="D9E1F2" w:fill="D9E1F2"/>
            <w:noWrap/>
            <w:vAlign w:val="bottom"/>
            <w:hideMark/>
          </w:tcPr>
          <w:p w14:paraId="72C8BB29" w14:textId="77777777" w:rsidR="00153816" w:rsidRPr="00EE05AA" w:rsidRDefault="00153816" w:rsidP="006B1E56">
            <w:pPr>
              <w:rPr>
                <w:rFonts w:asciiTheme="majorHAnsi" w:hAnsiTheme="majorHAnsi"/>
              </w:rPr>
            </w:pPr>
            <w:r w:rsidRPr="00EE05AA">
              <w:rPr>
                <w:rFonts w:asciiTheme="majorHAnsi" w:hAnsiTheme="majorHAnsi"/>
              </w:rPr>
              <w:t>Region</w:t>
            </w:r>
          </w:p>
        </w:tc>
        <w:tc>
          <w:tcPr>
            <w:tcW w:w="4252" w:type="dxa"/>
            <w:gridSpan w:val="8"/>
            <w:tcBorders>
              <w:top w:val="nil"/>
              <w:left w:val="nil"/>
              <w:bottom w:val="nil"/>
              <w:right w:val="nil"/>
            </w:tcBorders>
            <w:shd w:val="clear" w:color="D9E1F2" w:fill="D9E1F2"/>
            <w:noWrap/>
            <w:vAlign w:val="bottom"/>
            <w:hideMark/>
          </w:tcPr>
          <w:p w14:paraId="19C10B42" w14:textId="77777777" w:rsidR="00153816" w:rsidRPr="00EE05AA" w:rsidRDefault="00153816" w:rsidP="006B1E56">
            <w:pPr>
              <w:rPr>
                <w:rFonts w:asciiTheme="majorHAnsi" w:hAnsiTheme="majorHAnsi"/>
              </w:rPr>
            </w:pPr>
            <w:r w:rsidRPr="00EE05AA">
              <w:rPr>
                <w:rFonts w:asciiTheme="majorHAnsi" w:hAnsiTheme="majorHAnsi"/>
              </w:rPr>
              <w:t>(All)</w:t>
            </w:r>
          </w:p>
        </w:tc>
        <w:tc>
          <w:tcPr>
            <w:tcW w:w="236" w:type="dxa"/>
            <w:tcBorders>
              <w:top w:val="nil"/>
              <w:left w:val="nil"/>
              <w:bottom w:val="nil"/>
              <w:right w:val="nil"/>
            </w:tcBorders>
            <w:shd w:val="clear" w:color="auto" w:fill="auto"/>
            <w:noWrap/>
            <w:vAlign w:val="bottom"/>
            <w:hideMark/>
          </w:tcPr>
          <w:p w14:paraId="1DD9A417" w14:textId="77777777" w:rsidR="00153816" w:rsidRPr="00EE05AA" w:rsidRDefault="00153816" w:rsidP="006B1E56">
            <w:pPr>
              <w:rPr>
                <w:rFonts w:asciiTheme="majorHAnsi" w:hAnsiTheme="majorHAnsi"/>
              </w:rPr>
            </w:pPr>
          </w:p>
        </w:tc>
        <w:tc>
          <w:tcPr>
            <w:tcW w:w="4542" w:type="dxa"/>
            <w:gridSpan w:val="5"/>
            <w:tcBorders>
              <w:top w:val="nil"/>
              <w:left w:val="nil"/>
              <w:bottom w:val="nil"/>
              <w:right w:val="nil"/>
            </w:tcBorders>
            <w:shd w:val="clear" w:color="auto" w:fill="auto"/>
            <w:noWrap/>
            <w:vAlign w:val="bottom"/>
            <w:hideMark/>
          </w:tcPr>
          <w:p w14:paraId="4178DA47"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545A9A0D"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32D4D0C5" w14:textId="77777777" w:rsidR="00153816" w:rsidRPr="00EE05AA" w:rsidRDefault="00153816" w:rsidP="006B1E56">
            <w:pPr>
              <w:rPr>
                <w:rFonts w:asciiTheme="majorHAnsi" w:hAnsiTheme="majorHAnsi"/>
              </w:rPr>
            </w:pPr>
          </w:p>
        </w:tc>
        <w:tc>
          <w:tcPr>
            <w:tcW w:w="3365" w:type="dxa"/>
            <w:tcBorders>
              <w:top w:val="nil"/>
              <w:left w:val="nil"/>
              <w:bottom w:val="nil"/>
              <w:right w:val="nil"/>
            </w:tcBorders>
            <w:shd w:val="clear" w:color="auto" w:fill="auto"/>
            <w:noWrap/>
            <w:vAlign w:val="bottom"/>
            <w:hideMark/>
          </w:tcPr>
          <w:p w14:paraId="2959EC8F" w14:textId="77777777" w:rsidR="00153816" w:rsidRPr="00EE05AA" w:rsidRDefault="00153816" w:rsidP="006B1E56">
            <w:pPr>
              <w:rPr>
                <w:rFonts w:asciiTheme="majorHAnsi" w:hAnsiTheme="majorHAnsi"/>
              </w:rPr>
            </w:pPr>
          </w:p>
        </w:tc>
        <w:tc>
          <w:tcPr>
            <w:tcW w:w="1846" w:type="dxa"/>
            <w:tcBorders>
              <w:top w:val="nil"/>
              <w:left w:val="nil"/>
              <w:bottom w:val="nil"/>
              <w:right w:val="nil"/>
            </w:tcBorders>
            <w:shd w:val="clear" w:color="auto" w:fill="auto"/>
            <w:noWrap/>
            <w:vAlign w:val="bottom"/>
            <w:hideMark/>
          </w:tcPr>
          <w:p w14:paraId="79D4FF5D" w14:textId="77777777" w:rsidR="00153816" w:rsidRPr="00EE05AA" w:rsidRDefault="00153816" w:rsidP="006B1E56">
            <w:pPr>
              <w:rPr>
                <w:rFonts w:asciiTheme="majorHAnsi" w:hAnsiTheme="majorHAnsi"/>
              </w:rPr>
            </w:pPr>
          </w:p>
        </w:tc>
        <w:tc>
          <w:tcPr>
            <w:tcW w:w="1818" w:type="dxa"/>
            <w:tcBorders>
              <w:top w:val="nil"/>
              <w:left w:val="nil"/>
              <w:bottom w:val="nil"/>
              <w:right w:val="nil"/>
            </w:tcBorders>
            <w:shd w:val="clear" w:color="auto" w:fill="auto"/>
            <w:noWrap/>
            <w:vAlign w:val="bottom"/>
            <w:hideMark/>
          </w:tcPr>
          <w:p w14:paraId="7B5595AE" w14:textId="77777777" w:rsidR="00153816" w:rsidRPr="00EE05AA" w:rsidRDefault="00153816" w:rsidP="006B1E56">
            <w:pPr>
              <w:rPr>
                <w:rFonts w:asciiTheme="majorHAnsi" w:hAnsiTheme="majorHAnsi"/>
              </w:rPr>
            </w:pPr>
          </w:p>
        </w:tc>
      </w:tr>
      <w:tr w:rsidR="00153816" w:rsidRPr="00EE05AA" w14:paraId="58DAFE48" w14:textId="77777777" w:rsidTr="006B1E56">
        <w:trPr>
          <w:trHeight w:val="280"/>
        </w:trPr>
        <w:tc>
          <w:tcPr>
            <w:tcW w:w="284" w:type="dxa"/>
            <w:tcBorders>
              <w:top w:val="nil"/>
              <w:left w:val="nil"/>
              <w:bottom w:val="nil"/>
              <w:right w:val="nil"/>
            </w:tcBorders>
            <w:shd w:val="clear" w:color="auto" w:fill="auto"/>
            <w:noWrap/>
            <w:vAlign w:val="bottom"/>
            <w:hideMark/>
          </w:tcPr>
          <w:p w14:paraId="77368286" w14:textId="77777777" w:rsidR="00153816" w:rsidRPr="00EE05AA" w:rsidRDefault="00153816" w:rsidP="006B1E56">
            <w:pPr>
              <w:rPr>
                <w:rFonts w:asciiTheme="majorHAnsi" w:hAnsiTheme="majorHAnsi"/>
              </w:rPr>
            </w:pPr>
          </w:p>
        </w:tc>
        <w:tc>
          <w:tcPr>
            <w:tcW w:w="3850" w:type="dxa"/>
            <w:gridSpan w:val="3"/>
            <w:tcBorders>
              <w:top w:val="nil"/>
              <w:left w:val="nil"/>
              <w:bottom w:val="single" w:sz="4" w:space="0" w:color="8EA9DB"/>
              <w:right w:val="nil"/>
            </w:tcBorders>
            <w:shd w:val="clear" w:color="D9E1F2" w:fill="D9E1F2"/>
            <w:noWrap/>
            <w:vAlign w:val="bottom"/>
            <w:hideMark/>
          </w:tcPr>
          <w:p w14:paraId="013A539B" w14:textId="77777777" w:rsidR="00153816" w:rsidRPr="00EE05AA" w:rsidRDefault="00153816" w:rsidP="006B1E56">
            <w:pPr>
              <w:rPr>
                <w:rFonts w:asciiTheme="majorHAnsi" w:hAnsiTheme="majorHAnsi"/>
              </w:rPr>
            </w:pPr>
            <w:r w:rsidRPr="00EE05AA">
              <w:rPr>
                <w:rFonts w:asciiTheme="majorHAnsi" w:hAnsiTheme="majorHAnsi"/>
              </w:rPr>
              <w:t>PCC</w:t>
            </w:r>
          </w:p>
        </w:tc>
        <w:tc>
          <w:tcPr>
            <w:tcW w:w="4252" w:type="dxa"/>
            <w:gridSpan w:val="8"/>
            <w:tcBorders>
              <w:top w:val="nil"/>
              <w:left w:val="nil"/>
              <w:bottom w:val="single" w:sz="4" w:space="0" w:color="8EA9DB"/>
              <w:right w:val="nil"/>
            </w:tcBorders>
            <w:shd w:val="clear" w:color="D9E1F2" w:fill="D9E1F2"/>
            <w:noWrap/>
            <w:vAlign w:val="bottom"/>
            <w:hideMark/>
          </w:tcPr>
          <w:p w14:paraId="35A61DC7" w14:textId="77777777" w:rsidR="00153816" w:rsidRPr="00EE05AA" w:rsidRDefault="00153816" w:rsidP="006B1E56">
            <w:pPr>
              <w:rPr>
                <w:rFonts w:asciiTheme="majorHAnsi" w:hAnsiTheme="majorHAnsi"/>
              </w:rPr>
            </w:pPr>
            <w:r w:rsidRPr="00EE05AA">
              <w:rPr>
                <w:rFonts w:asciiTheme="majorHAnsi" w:hAnsiTheme="majorHAnsi"/>
              </w:rPr>
              <w:t>(All)</w:t>
            </w:r>
          </w:p>
        </w:tc>
        <w:tc>
          <w:tcPr>
            <w:tcW w:w="236" w:type="dxa"/>
            <w:tcBorders>
              <w:top w:val="nil"/>
              <w:left w:val="nil"/>
              <w:bottom w:val="nil"/>
              <w:right w:val="nil"/>
            </w:tcBorders>
            <w:shd w:val="clear" w:color="auto" w:fill="auto"/>
            <w:noWrap/>
            <w:vAlign w:val="bottom"/>
            <w:hideMark/>
          </w:tcPr>
          <w:p w14:paraId="40D1252C" w14:textId="77777777" w:rsidR="00153816" w:rsidRPr="00EE05AA" w:rsidRDefault="00153816" w:rsidP="006B1E56">
            <w:pPr>
              <w:rPr>
                <w:rFonts w:asciiTheme="majorHAnsi" w:hAnsiTheme="majorHAnsi"/>
              </w:rPr>
            </w:pPr>
          </w:p>
        </w:tc>
        <w:tc>
          <w:tcPr>
            <w:tcW w:w="4542" w:type="dxa"/>
            <w:gridSpan w:val="5"/>
            <w:tcBorders>
              <w:top w:val="nil"/>
              <w:left w:val="nil"/>
              <w:bottom w:val="nil"/>
              <w:right w:val="nil"/>
            </w:tcBorders>
            <w:shd w:val="clear" w:color="auto" w:fill="auto"/>
            <w:noWrap/>
            <w:vAlign w:val="bottom"/>
            <w:hideMark/>
          </w:tcPr>
          <w:p w14:paraId="328BF209"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3DD11012"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18626359" w14:textId="77777777" w:rsidR="00153816" w:rsidRPr="00EE05AA" w:rsidRDefault="00153816" w:rsidP="006B1E56">
            <w:pPr>
              <w:rPr>
                <w:rFonts w:asciiTheme="majorHAnsi" w:hAnsiTheme="majorHAnsi"/>
              </w:rPr>
            </w:pPr>
          </w:p>
        </w:tc>
        <w:tc>
          <w:tcPr>
            <w:tcW w:w="3365" w:type="dxa"/>
            <w:tcBorders>
              <w:top w:val="nil"/>
              <w:left w:val="nil"/>
              <w:bottom w:val="nil"/>
              <w:right w:val="nil"/>
            </w:tcBorders>
            <w:shd w:val="clear" w:color="auto" w:fill="auto"/>
            <w:noWrap/>
            <w:vAlign w:val="bottom"/>
            <w:hideMark/>
          </w:tcPr>
          <w:p w14:paraId="118A1AE3" w14:textId="77777777" w:rsidR="00153816" w:rsidRPr="00EE05AA" w:rsidRDefault="00153816" w:rsidP="006B1E56">
            <w:pPr>
              <w:rPr>
                <w:rFonts w:asciiTheme="majorHAnsi" w:hAnsiTheme="majorHAnsi"/>
              </w:rPr>
            </w:pPr>
          </w:p>
        </w:tc>
        <w:tc>
          <w:tcPr>
            <w:tcW w:w="1846" w:type="dxa"/>
            <w:tcBorders>
              <w:top w:val="nil"/>
              <w:left w:val="nil"/>
              <w:bottom w:val="nil"/>
              <w:right w:val="nil"/>
            </w:tcBorders>
            <w:shd w:val="clear" w:color="auto" w:fill="auto"/>
            <w:noWrap/>
            <w:vAlign w:val="bottom"/>
            <w:hideMark/>
          </w:tcPr>
          <w:p w14:paraId="7A3629DD" w14:textId="77777777" w:rsidR="00153816" w:rsidRPr="00EE05AA" w:rsidRDefault="00153816" w:rsidP="006B1E56">
            <w:pPr>
              <w:rPr>
                <w:rFonts w:asciiTheme="majorHAnsi" w:hAnsiTheme="majorHAnsi"/>
              </w:rPr>
            </w:pPr>
          </w:p>
        </w:tc>
        <w:tc>
          <w:tcPr>
            <w:tcW w:w="1818" w:type="dxa"/>
            <w:tcBorders>
              <w:top w:val="nil"/>
              <w:left w:val="nil"/>
              <w:bottom w:val="nil"/>
              <w:right w:val="nil"/>
            </w:tcBorders>
            <w:shd w:val="clear" w:color="auto" w:fill="auto"/>
            <w:noWrap/>
            <w:vAlign w:val="bottom"/>
            <w:hideMark/>
          </w:tcPr>
          <w:p w14:paraId="0AF0F45B" w14:textId="77777777" w:rsidR="00153816" w:rsidRPr="00EE05AA" w:rsidRDefault="00153816" w:rsidP="006B1E56">
            <w:pPr>
              <w:rPr>
                <w:rFonts w:asciiTheme="majorHAnsi" w:hAnsiTheme="majorHAnsi"/>
              </w:rPr>
            </w:pPr>
          </w:p>
        </w:tc>
      </w:tr>
      <w:tr w:rsidR="00153816" w:rsidRPr="00EE05AA" w14:paraId="54990604" w14:textId="77777777" w:rsidTr="006B1E56">
        <w:trPr>
          <w:trHeight w:val="762"/>
        </w:trPr>
        <w:tc>
          <w:tcPr>
            <w:tcW w:w="284" w:type="dxa"/>
            <w:tcBorders>
              <w:top w:val="nil"/>
              <w:left w:val="nil"/>
              <w:bottom w:val="nil"/>
              <w:right w:val="nil"/>
            </w:tcBorders>
            <w:shd w:val="clear" w:color="auto" w:fill="auto"/>
            <w:noWrap/>
            <w:vAlign w:val="bottom"/>
            <w:hideMark/>
          </w:tcPr>
          <w:p w14:paraId="6459E4F9" w14:textId="77777777" w:rsidR="00153816" w:rsidRPr="00EE05AA" w:rsidRDefault="00153816" w:rsidP="006B1E56">
            <w:pPr>
              <w:rPr>
                <w:rFonts w:asciiTheme="majorHAnsi" w:hAnsiTheme="majorHAnsi"/>
              </w:rPr>
            </w:pPr>
          </w:p>
        </w:tc>
        <w:tc>
          <w:tcPr>
            <w:tcW w:w="3850" w:type="dxa"/>
            <w:gridSpan w:val="3"/>
            <w:tcBorders>
              <w:top w:val="nil"/>
              <w:left w:val="nil"/>
              <w:bottom w:val="nil"/>
              <w:right w:val="nil"/>
            </w:tcBorders>
            <w:shd w:val="clear" w:color="auto" w:fill="auto"/>
            <w:noWrap/>
            <w:vAlign w:val="bottom"/>
            <w:hideMark/>
          </w:tcPr>
          <w:p w14:paraId="67B215F9" w14:textId="77777777" w:rsidR="00153816" w:rsidRPr="00EE05AA" w:rsidRDefault="00153816" w:rsidP="006B1E56">
            <w:pPr>
              <w:rPr>
                <w:rFonts w:asciiTheme="majorHAnsi" w:hAnsiTheme="majorHAnsi"/>
              </w:rPr>
            </w:pPr>
          </w:p>
        </w:tc>
        <w:tc>
          <w:tcPr>
            <w:tcW w:w="4252" w:type="dxa"/>
            <w:gridSpan w:val="8"/>
            <w:tcBorders>
              <w:top w:val="nil"/>
              <w:left w:val="nil"/>
              <w:bottom w:val="nil"/>
              <w:right w:val="nil"/>
            </w:tcBorders>
            <w:shd w:val="clear" w:color="auto" w:fill="auto"/>
            <w:noWrap/>
            <w:vAlign w:val="bottom"/>
            <w:hideMark/>
          </w:tcPr>
          <w:p w14:paraId="3601D26A"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7EF207FE" w14:textId="77777777" w:rsidR="00153816" w:rsidRPr="00EE05AA" w:rsidRDefault="00153816" w:rsidP="006B1E56">
            <w:pPr>
              <w:rPr>
                <w:rFonts w:asciiTheme="majorHAnsi" w:hAnsiTheme="majorHAnsi"/>
              </w:rPr>
            </w:pPr>
          </w:p>
        </w:tc>
        <w:tc>
          <w:tcPr>
            <w:tcW w:w="4542" w:type="dxa"/>
            <w:gridSpan w:val="5"/>
            <w:tcBorders>
              <w:top w:val="nil"/>
              <w:left w:val="nil"/>
              <w:bottom w:val="nil"/>
              <w:right w:val="nil"/>
            </w:tcBorders>
            <w:shd w:val="clear" w:color="auto" w:fill="auto"/>
            <w:noWrap/>
            <w:vAlign w:val="bottom"/>
            <w:hideMark/>
          </w:tcPr>
          <w:p w14:paraId="26299329"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23FF5759" w14:textId="77777777" w:rsidR="00153816" w:rsidRPr="00EE05AA" w:rsidRDefault="00153816" w:rsidP="006B1E56">
            <w:pPr>
              <w:rPr>
                <w:rFonts w:asciiTheme="majorHAnsi" w:hAnsiTheme="majorHAnsi"/>
              </w:rPr>
            </w:pPr>
          </w:p>
        </w:tc>
        <w:tc>
          <w:tcPr>
            <w:tcW w:w="236" w:type="dxa"/>
            <w:tcBorders>
              <w:top w:val="nil"/>
              <w:left w:val="nil"/>
              <w:bottom w:val="nil"/>
              <w:right w:val="nil"/>
            </w:tcBorders>
            <w:shd w:val="clear" w:color="auto" w:fill="auto"/>
            <w:noWrap/>
            <w:vAlign w:val="bottom"/>
            <w:hideMark/>
          </w:tcPr>
          <w:p w14:paraId="15C6C7CD" w14:textId="77777777" w:rsidR="00153816" w:rsidRPr="00EE05AA" w:rsidRDefault="00153816" w:rsidP="006B1E56">
            <w:pPr>
              <w:rPr>
                <w:rFonts w:asciiTheme="majorHAnsi" w:hAnsiTheme="majorHAnsi"/>
              </w:rPr>
            </w:pPr>
          </w:p>
        </w:tc>
        <w:tc>
          <w:tcPr>
            <w:tcW w:w="3365" w:type="dxa"/>
            <w:tcBorders>
              <w:top w:val="nil"/>
              <w:left w:val="nil"/>
              <w:bottom w:val="nil"/>
              <w:right w:val="nil"/>
            </w:tcBorders>
            <w:shd w:val="clear" w:color="auto" w:fill="auto"/>
            <w:noWrap/>
            <w:vAlign w:val="bottom"/>
            <w:hideMark/>
          </w:tcPr>
          <w:p w14:paraId="05EBCE7B" w14:textId="77777777" w:rsidR="00153816" w:rsidRPr="00EE05AA" w:rsidRDefault="00153816" w:rsidP="006B1E56">
            <w:pPr>
              <w:rPr>
                <w:rFonts w:asciiTheme="majorHAnsi" w:hAnsiTheme="majorHAnsi"/>
              </w:rPr>
            </w:pPr>
          </w:p>
        </w:tc>
        <w:tc>
          <w:tcPr>
            <w:tcW w:w="1846" w:type="dxa"/>
            <w:tcBorders>
              <w:top w:val="nil"/>
              <w:left w:val="nil"/>
              <w:bottom w:val="nil"/>
              <w:right w:val="nil"/>
            </w:tcBorders>
            <w:shd w:val="clear" w:color="auto" w:fill="auto"/>
            <w:noWrap/>
            <w:vAlign w:val="bottom"/>
            <w:hideMark/>
          </w:tcPr>
          <w:p w14:paraId="425CF157" w14:textId="77777777" w:rsidR="00153816" w:rsidRPr="00EE05AA" w:rsidRDefault="00153816" w:rsidP="006B1E56">
            <w:pPr>
              <w:rPr>
                <w:rFonts w:asciiTheme="majorHAnsi" w:hAnsiTheme="majorHAnsi"/>
              </w:rPr>
            </w:pPr>
          </w:p>
        </w:tc>
        <w:tc>
          <w:tcPr>
            <w:tcW w:w="1818" w:type="dxa"/>
            <w:tcBorders>
              <w:top w:val="nil"/>
              <w:left w:val="nil"/>
              <w:bottom w:val="nil"/>
              <w:right w:val="nil"/>
            </w:tcBorders>
            <w:shd w:val="clear" w:color="auto" w:fill="auto"/>
            <w:noWrap/>
            <w:vAlign w:val="bottom"/>
            <w:hideMark/>
          </w:tcPr>
          <w:p w14:paraId="02A37A57" w14:textId="77777777" w:rsidR="00153816" w:rsidRPr="00EE05AA" w:rsidRDefault="00153816" w:rsidP="006B1E56">
            <w:pPr>
              <w:rPr>
                <w:rFonts w:asciiTheme="majorHAnsi" w:hAnsiTheme="majorHAnsi"/>
              </w:rPr>
            </w:pPr>
          </w:p>
        </w:tc>
      </w:tr>
      <w:tr w:rsidR="00153816" w:rsidRPr="00EE05AA" w14:paraId="76528719" w14:textId="77777777" w:rsidTr="006B1E56">
        <w:trPr>
          <w:trHeight w:val="280"/>
        </w:trPr>
        <w:tc>
          <w:tcPr>
            <w:tcW w:w="284" w:type="dxa"/>
            <w:tcBorders>
              <w:top w:val="nil"/>
              <w:left w:val="nil"/>
              <w:bottom w:val="nil"/>
              <w:right w:val="nil"/>
            </w:tcBorders>
            <w:shd w:val="clear" w:color="auto" w:fill="auto"/>
            <w:noWrap/>
            <w:vAlign w:val="bottom"/>
            <w:hideMark/>
          </w:tcPr>
          <w:p w14:paraId="0D8899F4" w14:textId="77777777" w:rsidR="00153816" w:rsidRPr="00EE05AA" w:rsidRDefault="00153816" w:rsidP="006B1E56">
            <w:pPr>
              <w:rPr>
                <w:rFonts w:asciiTheme="majorHAnsi" w:hAnsiTheme="majorHAnsi"/>
              </w:rPr>
            </w:pPr>
          </w:p>
        </w:tc>
        <w:tc>
          <w:tcPr>
            <w:tcW w:w="3850" w:type="dxa"/>
            <w:gridSpan w:val="3"/>
            <w:tcBorders>
              <w:top w:val="nil"/>
              <w:left w:val="nil"/>
              <w:bottom w:val="nil"/>
              <w:right w:val="nil"/>
            </w:tcBorders>
            <w:shd w:val="clear" w:color="D9E1F2" w:fill="D9E1F2"/>
            <w:noWrap/>
            <w:vAlign w:val="bottom"/>
            <w:hideMark/>
          </w:tcPr>
          <w:p w14:paraId="4C86EF98" w14:textId="77777777" w:rsidR="00153816" w:rsidRPr="00EE05AA" w:rsidRDefault="00153816" w:rsidP="006B1E56">
            <w:pPr>
              <w:rPr>
                <w:rFonts w:asciiTheme="majorHAnsi" w:hAnsiTheme="majorHAnsi"/>
                <w:b/>
                <w:bCs/>
              </w:rPr>
            </w:pPr>
            <w:r w:rsidRPr="00EE05AA">
              <w:rPr>
                <w:rFonts w:asciiTheme="majorHAnsi" w:hAnsiTheme="majorHAnsi"/>
                <w:b/>
                <w:bCs/>
              </w:rPr>
              <w:t>Sum of Number_Cautioned_Sentence</w:t>
            </w:r>
          </w:p>
        </w:tc>
        <w:tc>
          <w:tcPr>
            <w:tcW w:w="4252" w:type="dxa"/>
            <w:gridSpan w:val="8"/>
            <w:tcBorders>
              <w:top w:val="nil"/>
              <w:left w:val="nil"/>
              <w:bottom w:val="nil"/>
              <w:right w:val="nil"/>
            </w:tcBorders>
            <w:shd w:val="clear" w:color="D9E1F2" w:fill="D9E1F2"/>
            <w:noWrap/>
            <w:vAlign w:val="bottom"/>
            <w:hideMark/>
          </w:tcPr>
          <w:p w14:paraId="6FA27EC5" w14:textId="77777777" w:rsidR="00153816" w:rsidRPr="00EE05AA" w:rsidRDefault="00153816" w:rsidP="006B1E56">
            <w:pPr>
              <w:rPr>
                <w:rFonts w:asciiTheme="majorHAnsi" w:hAnsiTheme="majorHAnsi"/>
                <w:b/>
                <w:bCs/>
              </w:rPr>
            </w:pPr>
            <w:r w:rsidRPr="00EE05AA">
              <w:rPr>
                <w:rFonts w:asciiTheme="majorHAnsi" w:hAnsiTheme="majorHAnsi"/>
                <w:b/>
                <w:bCs/>
              </w:rPr>
              <w:t>Column Labels</w:t>
            </w:r>
          </w:p>
        </w:tc>
        <w:tc>
          <w:tcPr>
            <w:tcW w:w="236" w:type="dxa"/>
            <w:tcBorders>
              <w:top w:val="nil"/>
              <w:left w:val="nil"/>
              <w:bottom w:val="nil"/>
              <w:right w:val="nil"/>
            </w:tcBorders>
            <w:shd w:val="clear" w:color="D9E1F2" w:fill="D9E1F2"/>
            <w:noWrap/>
            <w:vAlign w:val="bottom"/>
            <w:hideMark/>
          </w:tcPr>
          <w:p w14:paraId="47E642A1" w14:textId="77777777" w:rsidR="00153816" w:rsidRPr="00EE05AA" w:rsidRDefault="00153816" w:rsidP="006B1E56">
            <w:pPr>
              <w:rPr>
                <w:rFonts w:asciiTheme="majorHAnsi" w:hAnsiTheme="majorHAnsi"/>
                <w:b/>
                <w:bCs/>
              </w:rPr>
            </w:pPr>
          </w:p>
        </w:tc>
        <w:tc>
          <w:tcPr>
            <w:tcW w:w="236" w:type="dxa"/>
            <w:tcBorders>
              <w:top w:val="nil"/>
              <w:left w:val="nil"/>
              <w:bottom w:val="nil"/>
              <w:right w:val="nil"/>
            </w:tcBorders>
            <w:shd w:val="clear" w:color="D9E1F2" w:fill="D9E1F2"/>
            <w:noWrap/>
            <w:vAlign w:val="bottom"/>
            <w:hideMark/>
          </w:tcPr>
          <w:p w14:paraId="6796E617" w14:textId="77777777" w:rsidR="00153816" w:rsidRPr="00EE05AA" w:rsidRDefault="00153816" w:rsidP="006B1E56">
            <w:pPr>
              <w:rPr>
                <w:rFonts w:asciiTheme="majorHAnsi" w:hAnsiTheme="majorHAnsi"/>
              </w:rPr>
            </w:pPr>
          </w:p>
        </w:tc>
        <w:tc>
          <w:tcPr>
            <w:tcW w:w="379" w:type="dxa"/>
            <w:gridSpan w:val="2"/>
            <w:tcBorders>
              <w:top w:val="nil"/>
              <w:left w:val="nil"/>
              <w:bottom w:val="nil"/>
              <w:right w:val="nil"/>
            </w:tcBorders>
            <w:shd w:val="clear" w:color="D9E1F2" w:fill="D9E1F2"/>
            <w:noWrap/>
            <w:vAlign w:val="bottom"/>
            <w:hideMark/>
          </w:tcPr>
          <w:p w14:paraId="2305E4C3" w14:textId="77777777" w:rsidR="00153816" w:rsidRPr="00EE05AA" w:rsidRDefault="00153816" w:rsidP="006B1E56">
            <w:pPr>
              <w:rPr>
                <w:rFonts w:asciiTheme="majorHAnsi" w:hAnsiTheme="majorHAnsi"/>
              </w:rPr>
            </w:pPr>
          </w:p>
        </w:tc>
        <w:tc>
          <w:tcPr>
            <w:tcW w:w="1559" w:type="dxa"/>
            <w:tcBorders>
              <w:top w:val="nil"/>
              <w:left w:val="nil"/>
              <w:bottom w:val="nil"/>
              <w:right w:val="nil"/>
            </w:tcBorders>
            <w:shd w:val="clear" w:color="D9E1F2" w:fill="D9E1F2"/>
            <w:noWrap/>
            <w:vAlign w:val="bottom"/>
            <w:hideMark/>
          </w:tcPr>
          <w:p w14:paraId="3425CF9A" w14:textId="77777777" w:rsidR="00153816" w:rsidRPr="00EE05AA" w:rsidRDefault="00153816" w:rsidP="006B1E56">
            <w:pPr>
              <w:rPr>
                <w:rFonts w:asciiTheme="majorHAnsi" w:hAnsiTheme="majorHAnsi"/>
              </w:rPr>
            </w:pPr>
          </w:p>
        </w:tc>
        <w:tc>
          <w:tcPr>
            <w:tcW w:w="6205" w:type="dxa"/>
            <w:gridSpan w:val="4"/>
            <w:tcBorders>
              <w:top w:val="nil"/>
              <w:left w:val="nil"/>
              <w:bottom w:val="nil"/>
              <w:right w:val="nil"/>
            </w:tcBorders>
            <w:shd w:val="clear" w:color="D9E1F2" w:fill="D9E1F2"/>
            <w:noWrap/>
            <w:vAlign w:val="bottom"/>
            <w:hideMark/>
          </w:tcPr>
          <w:p w14:paraId="299A1AB8" w14:textId="77777777" w:rsidR="00153816" w:rsidRPr="00EE05AA" w:rsidRDefault="00153816" w:rsidP="006B1E56">
            <w:pPr>
              <w:rPr>
                <w:rFonts w:asciiTheme="majorHAnsi" w:hAnsiTheme="majorHAnsi"/>
              </w:rPr>
            </w:pPr>
          </w:p>
        </w:tc>
        <w:tc>
          <w:tcPr>
            <w:tcW w:w="1846" w:type="dxa"/>
            <w:tcBorders>
              <w:top w:val="nil"/>
              <w:left w:val="nil"/>
              <w:bottom w:val="nil"/>
              <w:right w:val="nil"/>
            </w:tcBorders>
            <w:shd w:val="clear" w:color="D9E1F2" w:fill="D9E1F2"/>
            <w:noWrap/>
            <w:vAlign w:val="bottom"/>
            <w:hideMark/>
          </w:tcPr>
          <w:p w14:paraId="17FFBB2B" w14:textId="77777777" w:rsidR="00153816" w:rsidRPr="00EE05AA" w:rsidRDefault="00153816" w:rsidP="006B1E56">
            <w:pPr>
              <w:rPr>
                <w:rFonts w:asciiTheme="majorHAnsi" w:hAnsiTheme="majorHAnsi"/>
              </w:rPr>
            </w:pPr>
          </w:p>
        </w:tc>
        <w:tc>
          <w:tcPr>
            <w:tcW w:w="1818" w:type="dxa"/>
            <w:tcBorders>
              <w:top w:val="nil"/>
              <w:left w:val="nil"/>
              <w:bottom w:val="nil"/>
              <w:right w:val="nil"/>
            </w:tcBorders>
            <w:shd w:val="clear" w:color="auto" w:fill="auto"/>
            <w:noWrap/>
            <w:vAlign w:val="bottom"/>
            <w:hideMark/>
          </w:tcPr>
          <w:p w14:paraId="48BC2E8C" w14:textId="77777777" w:rsidR="00153816" w:rsidRPr="00EE05AA" w:rsidRDefault="00153816" w:rsidP="006B1E56">
            <w:pPr>
              <w:rPr>
                <w:rFonts w:asciiTheme="majorHAnsi" w:hAnsiTheme="majorHAnsi"/>
              </w:rPr>
            </w:pPr>
          </w:p>
        </w:tc>
      </w:tr>
      <w:tr w:rsidR="00153816" w:rsidRPr="00EE05AA" w14:paraId="47CAABCA" w14:textId="77777777" w:rsidTr="006B1E56">
        <w:trPr>
          <w:trHeight w:val="280"/>
        </w:trPr>
        <w:tc>
          <w:tcPr>
            <w:tcW w:w="284" w:type="dxa"/>
            <w:tcBorders>
              <w:top w:val="nil"/>
              <w:left w:val="nil"/>
              <w:bottom w:val="nil"/>
              <w:right w:val="nil"/>
            </w:tcBorders>
            <w:shd w:val="clear" w:color="auto" w:fill="auto"/>
            <w:noWrap/>
            <w:vAlign w:val="bottom"/>
            <w:hideMark/>
          </w:tcPr>
          <w:p w14:paraId="5715CCE8" w14:textId="77777777" w:rsidR="00153816" w:rsidRPr="00EE05AA" w:rsidRDefault="00153816" w:rsidP="006B1E56">
            <w:pPr>
              <w:rPr>
                <w:rFonts w:asciiTheme="majorHAnsi" w:hAnsiTheme="majorHAnsi"/>
              </w:rPr>
            </w:pPr>
          </w:p>
        </w:tc>
        <w:tc>
          <w:tcPr>
            <w:tcW w:w="3850" w:type="dxa"/>
            <w:gridSpan w:val="3"/>
            <w:tcBorders>
              <w:top w:val="nil"/>
              <w:left w:val="nil"/>
              <w:bottom w:val="single" w:sz="4" w:space="0" w:color="8EA9DB"/>
              <w:right w:val="nil"/>
            </w:tcBorders>
            <w:shd w:val="clear" w:color="D9E1F2" w:fill="D9E1F2"/>
            <w:noWrap/>
            <w:vAlign w:val="bottom"/>
            <w:hideMark/>
          </w:tcPr>
          <w:p w14:paraId="7A62BFD0" w14:textId="77777777" w:rsidR="00153816" w:rsidRPr="00EE05AA" w:rsidRDefault="00153816" w:rsidP="006B1E56">
            <w:pPr>
              <w:rPr>
                <w:rFonts w:asciiTheme="majorHAnsi" w:hAnsiTheme="majorHAnsi"/>
                <w:b/>
                <w:bCs/>
              </w:rPr>
            </w:pPr>
            <w:r w:rsidRPr="00EE05AA">
              <w:rPr>
                <w:rFonts w:asciiTheme="majorHAnsi" w:hAnsiTheme="majorHAnsi"/>
                <w:b/>
                <w:bCs/>
              </w:rPr>
              <w:t>Row Labels</w:t>
            </w:r>
          </w:p>
        </w:tc>
        <w:tc>
          <w:tcPr>
            <w:tcW w:w="1842" w:type="dxa"/>
            <w:gridSpan w:val="3"/>
            <w:tcBorders>
              <w:top w:val="nil"/>
              <w:left w:val="nil"/>
              <w:bottom w:val="single" w:sz="4" w:space="0" w:color="8EA9DB"/>
              <w:right w:val="nil"/>
            </w:tcBorders>
            <w:shd w:val="clear" w:color="D9E1F2" w:fill="D9E1F2"/>
            <w:noWrap/>
            <w:vAlign w:val="bottom"/>
            <w:hideMark/>
          </w:tcPr>
          <w:p w14:paraId="39657F1B" w14:textId="77777777" w:rsidR="00153816" w:rsidRPr="00EE05AA" w:rsidRDefault="00153816" w:rsidP="006B1E56">
            <w:pPr>
              <w:rPr>
                <w:rFonts w:asciiTheme="majorHAnsi" w:hAnsiTheme="majorHAnsi"/>
                <w:b/>
                <w:bCs/>
              </w:rPr>
            </w:pPr>
            <w:r w:rsidRPr="00EE05AA">
              <w:rPr>
                <w:rFonts w:asciiTheme="majorHAnsi" w:hAnsiTheme="majorHAnsi"/>
                <w:b/>
                <w:bCs/>
              </w:rPr>
              <w:t>2013-14</w:t>
            </w:r>
          </w:p>
        </w:tc>
        <w:tc>
          <w:tcPr>
            <w:tcW w:w="1134" w:type="dxa"/>
            <w:gridSpan w:val="3"/>
            <w:tcBorders>
              <w:top w:val="nil"/>
              <w:left w:val="nil"/>
              <w:bottom w:val="single" w:sz="4" w:space="0" w:color="8EA9DB"/>
              <w:right w:val="nil"/>
            </w:tcBorders>
            <w:shd w:val="clear" w:color="D9E1F2" w:fill="D9E1F2"/>
            <w:noWrap/>
            <w:vAlign w:val="bottom"/>
            <w:hideMark/>
          </w:tcPr>
          <w:p w14:paraId="05CA020F" w14:textId="77777777" w:rsidR="00153816" w:rsidRPr="00EE05AA" w:rsidRDefault="00153816" w:rsidP="006B1E56">
            <w:pPr>
              <w:rPr>
                <w:rFonts w:asciiTheme="majorHAnsi" w:hAnsiTheme="majorHAnsi"/>
                <w:b/>
                <w:bCs/>
              </w:rPr>
            </w:pPr>
            <w:r w:rsidRPr="00EE05AA">
              <w:rPr>
                <w:rFonts w:asciiTheme="majorHAnsi" w:hAnsiTheme="majorHAnsi"/>
                <w:b/>
                <w:bCs/>
              </w:rPr>
              <w:t>2014-15</w:t>
            </w:r>
          </w:p>
        </w:tc>
        <w:tc>
          <w:tcPr>
            <w:tcW w:w="993" w:type="dxa"/>
            <w:tcBorders>
              <w:top w:val="nil"/>
              <w:left w:val="nil"/>
              <w:bottom w:val="single" w:sz="4" w:space="0" w:color="8EA9DB"/>
              <w:right w:val="nil"/>
            </w:tcBorders>
            <w:shd w:val="clear" w:color="D9E1F2" w:fill="D9E1F2"/>
            <w:noWrap/>
            <w:vAlign w:val="bottom"/>
            <w:hideMark/>
          </w:tcPr>
          <w:p w14:paraId="31BDA55C" w14:textId="77777777" w:rsidR="00153816" w:rsidRPr="00EE05AA" w:rsidRDefault="00153816" w:rsidP="006B1E56">
            <w:pPr>
              <w:rPr>
                <w:rFonts w:asciiTheme="majorHAnsi" w:hAnsiTheme="majorHAnsi"/>
                <w:b/>
                <w:bCs/>
              </w:rPr>
            </w:pPr>
            <w:r w:rsidRPr="00EE05AA">
              <w:rPr>
                <w:rFonts w:asciiTheme="majorHAnsi" w:hAnsiTheme="majorHAnsi"/>
                <w:b/>
                <w:bCs/>
              </w:rPr>
              <w:t>2015-16</w:t>
            </w:r>
          </w:p>
        </w:tc>
        <w:tc>
          <w:tcPr>
            <w:tcW w:w="992" w:type="dxa"/>
            <w:gridSpan w:val="4"/>
            <w:tcBorders>
              <w:top w:val="nil"/>
              <w:left w:val="nil"/>
              <w:bottom w:val="single" w:sz="4" w:space="0" w:color="8EA9DB"/>
              <w:right w:val="nil"/>
            </w:tcBorders>
            <w:shd w:val="clear" w:color="D9E1F2" w:fill="D9E1F2"/>
            <w:noWrap/>
            <w:vAlign w:val="bottom"/>
            <w:hideMark/>
          </w:tcPr>
          <w:p w14:paraId="537D7ED5" w14:textId="77777777" w:rsidR="00153816" w:rsidRPr="00EE05AA" w:rsidRDefault="00153816" w:rsidP="006B1E56">
            <w:pPr>
              <w:rPr>
                <w:rFonts w:asciiTheme="majorHAnsi" w:hAnsiTheme="majorHAnsi"/>
                <w:b/>
                <w:bCs/>
              </w:rPr>
            </w:pPr>
            <w:r w:rsidRPr="00EE05AA">
              <w:rPr>
                <w:rFonts w:asciiTheme="majorHAnsi" w:hAnsiTheme="majorHAnsi"/>
                <w:b/>
                <w:bCs/>
              </w:rPr>
              <w:t>2016-17</w:t>
            </w:r>
          </w:p>
        </w:tc>
        <w:tc>
          <w:tcPr>
            <w:tcW w:w="1701" w:type="dxa"/>
            <w:gridSpan w:val="2"/>
            <w:tcBorders>
              <w:top w:val="nil"/>
              <w:left w:val="nil"/>
              <w:bottom w:val="single" w:sz="4" w:space="0" w:color="8EA9DB"/>
              <w:right w:val="nil"/>
            </w:tcBorders>
            <w:shd w:val="clear" w:color="D9E1F2" w:fill="D9E1F2"/>
            <w:noWrap/>
            <w:vAlign w:val="bottom"/>
            <w:hideMark/>
          </w:tcPr>
          <w:p w14:paraId="10778501" w14:textId="77777777" w:rsidR="00153816" w:rsidRPr="00EE05AA" w:rsidRDefault="00153816" w:rsidP="006B1E56">
            <w:pPr>
              <w:rPr>
                <w:rFonts w:asciiTheme="majorHAnsi" w:hAnsiTheme="majorHAnsi"/>
                <w:b/>
                <w:bCs/>
              </w:rPr>
            </w:pPr>
            <w:r w:rsidRPr="00EE05AA">
              <w:rPr>
                <w:rFonts w:asciiTheme="majorHAnsi" w:hAnsiTheme="majorHAnsi"/>
                <w:b/>
                <w:bCs/>
              </w:rPr>
              <w:t>2017-18</w:t>
            </w:r>
          </w:p>
        </w:tc>
        <w:tc>
          <w:tcPr>
            <w:tcW w:w="6205" w:type="dxa"/>
            <w:gridSpan w:val="4"/>
            <w:tcBorders>
              <w:top w:val="nil"/>
              <w:left w:val="nil"/>
              <w:bottom w:val="single" w:sz="4" w:space="0" w:color="8EA9DB"/>
              <w:right w:val="nil"/>
            </w:tcBorders>
            <w:shd w:val="clear" w:color="D9E1F2" w:fill="D9E1F2"/>
            <w:noWrap/>
            <w:vAlign w:val="bottom"/>
            <w:hideMark/>
          </w:tcPr>
          <w:p w14:paraId="54361FC0" w14:textId="77777777" w:rsidR="00153816" w:rsidRPr="00EE05AA" w:rsidRDefault="00153816" w:rsidP="006B1E56">
            <w:pPr>
              <w:rPr>
                <w:rFonts w:asciiTheme="majorHAnsi" w:hAnsiTheme="majorHAnsi"/>
                <w:b/>
                <w:bCs/>
              </w:rPr>
            </w:pPr>
            <w:r w:rsidRPr="00EE05AA">
              <w:rPr>
                <w:rFonts w:asciiTheme="majorHAnsi" w:hAnsiTheme="majorHAnsi"/>
                <w:b/>
                <w:bCs/>
              </w:rPr>
              <w:t>2018-19</w:t>
            </w:r>
          </w:p>
        </w:tc>
        <w:tc>
          <w:tcPr>
            <w:tcW w:w="1846" w:type="dxa"/>
            <w:tcBorders>
              <w:top w:val="nil"/>
              <w:left w:val="nil"/>
              <w:bottom w:val="single" w:sz="4" w:space="0" w:color="8EA9DB"/>
              <w:right w:val="nil"/>
            </w:tcBorders>
            <w:shd w:val="clear" w:color="D9E1F2" w:fill="D9E1F2"/>
            <w:noWrap/>
            <w:vAlign w:val="bottom"/>
            <w:hideMark/>
          </w:tcPr>
          <w:p w14:paraId="3B6CDEEB" w14:textId="77777777" w:rsidR="00153816" w:rsidRPr="00EE05AA" w:rsidRDefault="00153816" w:rsidP="006B1E56">
            <w:pPr>
              <w:rPr>
                <w:rFonts w:asciiTheme="majorHAnsi" w:hAnsiTheme="majorHAnsi"/>
                <w:b/>
                <w:bCs/>
              </w:rPr>
            </w:pPr>
            <w:r w:rsidRPr="00EE05AA">
              <w:rPr>
                <w:rFonts w:asciiTheme="majorHAnsi" w:hAnsiTheme="majorHAnsi"/>
                <w:b/>
                <w:bCs/>
              </w:rPr>
              <w:t>Grand Total</w:t>
            </w:r>
          </w:p>
        </w:tc>
        <w:tc>
          <w:tcPr>
            <w:tcW w:w="1818" w:type="dxa"/>
            <w:tcBorders>
              <w:top w:val="nil"/>
              <w:left w:val="nil"/>
              <w:bottom w:val="nil"/>
              <w:right w:val="nil"/>
            </w:tcBorders>
            <w:shd w:val="clear" w:color="auto" w:fill="auto"/>
            <w:noWrap/>
            <w:vAlign w:val="bottom"/>
            <w:hideMark/>
          </w:tcPr>
          <w:p w14:paraId="5AB0B2DD" w14:textId="77777777" w:rsidR="00153816" w:rsidRPr="00EE05AA" w:rsidRDefault="00153816" w:rsidP="006B1E56">
            <w:pPr>
              <w:rPr>
                <w:rFonts w:asciiTheme="majorHAnsi" w:hAnsiTheme="majorHAnsi"/>
                <w:b/>
                <w:bCs/>
              </w:rPr>
            </w:pPr>
          </w:p>
        </w:tc>
      </w:tr>
      <w:tr w:rsidR="00153816" w:rsidRPr="00EE05AA" w14:paraId="3F56A978" w14:textId="77777777" w:rsidTr="006B1E56">
        <w:trPr>
          <w:trHeight w:val="280"/>
        </w:trPr>
        <w:tc>
          <w:tcPr>
            <w:tcW w:w="284" w:type="dxa"/>
            <w:tcBorders>
              <w:top w:val="nil"/>
              <w:left w:val="nil"/>
              <w:bottom w:val="nil"/>
              <w:right w:val="nil"/>
            </w:tcBorders>
            <w:shd w:val="clear" w:color="auto" w:fill="auto"/>
            <w:noWrap/>
            <w:vAlign w:val="bottom"/>
            <w:hideMark/>
          </w:tcPr>
          <w:p w14:paraId="452D469D" w14:textId="77777777" w:rsidR="00153816" w:rsidRPr="00EE05AA" w:rsidRDefault="00153816" w:rsidP="006B1E56">
            <w:pPr>
              <w:rPr>
                <w:rFonts w:asciiTheme="majorHAnsi" w:hAnsiTheme="majorHAnsi"/>
              </w:rPr>
            </w:pPr>
          </w:p>
        </w:tc>
        <w:tc>
          <w:tcPr>
            <w:tcW w:w="3991" w:type="dxa"/>
            <w:gridSpan w:val="4"/>
            <w:tcBorders>
              <w:top w:val="nil"/>
              <w:left w:val="nil"/>
              <w:bottom w:val="nil"/>
              <w:right w:val="nil"/>
            </w:tcBorders>
            <w:shd w:val="clear" w:color="auto" w:fill="auto"/>
            <w:noWrap/>
            <w:vAlign w:val="bottom"/>
            <w:hideMark/>
          </w:tcPr>
          <w:p w14:paraId="74FAD3E4" w14:textId="77777777" w:rsidR="00153816" w:rsidRPr="00EE05AA" w:rsidRDefault="00153816" w:rsidP="006B1E56">
            <w:pPr>
              <w:rPr>
                <w:rFonts w:asciiTheme="majorHAnsi" w:hAnsiTheme="majorHAnsi"/>
              </w:rPr>
            </w:pPr>
            <w:r w:rsidRPr="00EE05AA">
              <w:rPr>
                <w:rFonts w:asciiTheme="majorHAnsi" w:hAnsiTheme="majorHAnsi"/>
              </w:rPr>
              <w:t>Community</w:t>
            </w:r>
          </w:p>
        </w:tc>
        <w:tc>
          <w:tcPr>
            <w:tcW w:w="1985" w:type="dxa"/>
            <w:gridSpan w:val="3"/>
            <w:tcBorders>
              <w:top w:val="nil"/>
              <w:left w:val="nil"/>
              <w:bottom w:val="nil"/>
              <w:right w:val="nil"/>
            </w:tcBorders>
            <w:shd w:val="clear" w:color="auto" w:fill="auto"/>
            <w:noWrap/>
            <w:vAlign w:val="bottom"/>
            <w:hideMark/>
          </w:tcPr>
          <w:p w14:paraId="559FD062" w14:textId="77777777" w:rsidR="00153816" w:rsidRPr="00EE05AA" w:rsidRDefault="00153816" w:rsidP="006B1E56">
            <w:pPr>
              <w:rPr>
                <w:rFonts w:asciiTheme="majorHAnsi" w:hAnsiTheme="majorHAnsi"/>
              </w:rPr>
            </w:pPr>
            <w:r w:rsidRPr="00EE05AA">
              <w:rPr>
                <w:rFonts w:asciiTheme="majorHAnsi" w:hAnsiTheme="majorHAnsi"/>
              </w:rPr>
              <w:t>62</w:t>
            </w:r>
          </w:p>
        </w:tc>
        <w:tc>
          <w:tcPr>
            <w:tcW w:w="850" w:type="dxa"/>
            <w:gridSpan w:val="2"/>
            <w:tcBorders>
              <w:top w:val="nil"/>
              <w:left w:val="nil"/>
              <w:bottom w:val="nil"/>
              <w:right w:val="nil"/>
            </w:tcBorders>
            <w:shd w:val="clear" w:color="auto" w:fill="auto"/>
            <w:noWrap/>
            <w:vAlign w:val="bottom"/>
            <w:hideMark/>
          </w:tcPr>
          <w:p w14:paraId="6F0A117F" w14:textId="77777777" w:rsidR="00153816" w:rsidRPr="00EE05AA" w:rsidRDefault="00153816" w:rsidP="006B1E56">
            <w:pPr>
              <w:rPr>
                <w:rFonts w:asciiTheme="majorHAnsi" w:hAnsiTheme="majorHAnsi"/>
              </w:rPr>
            </w:pPr>
            <w:r w:rsidRPr="00EE05AA">
              <w:rPr>
                <w:rFonts w:asciiTheme="majorHAnsi" w:hAnsiTheme="majorHAnsi"/>
              </w:rPr>
              <w:t>45</w:t>
            </w:r>
          </w:p>
        </w:tc>
        <w:tc>
          <w:tcPr>
            <w:tcW w:w="993" w:type="dxa"/>
            <w:tcBorders>
              <w:top w:val="nil"/>
              <w:left w:val="nil"/>
              <w:bottom w:val="nil"/>
              <w:right w:val="nil"/>
            </w:tcBorders>
            <w:shd w:val="clear" w:color="auto" w:fill="auto"/>
            <w:noWrap/>
            <w:vAlign w:val="bottom"/>
            <w:hideMark/>
          </w:tcPr>
          <w:p w14:paraId="704E236E" w14:textId="77777777" w:rsidR="00153816" w:rsidRPr="00EE05AA" w:rsidRDefault="00153816" w:rsidP="006B1E56">
            <w:pPr>
              <w:rPr>
                <w:rFonts w:asciiTheme="majorHAnsi" w:hAnsiTheme="majorHAnsi"/>
              </w:rPr>
            </w:pPr>
            <w:r w:rsidRPr="00EE05AA">
              <w:rPr>
                <w:rFonts w:asciiTheme="majorHAnsi" w:hAnsiTheme="majorHAnsi"/>
              </w:rPr>
              <w:t>61</w:t>
            </w:r>
          </w:p>
        </w:tc>
        <w:tc>
          <w:tcPr>
            <w:tcW w:w="1134" w:type="dxa"/>
            <w:gridSpan w:val="5"/>
            <w:tcBorders>
              <w:top w:val="nil"/>
              <w:left w:val="nil"/>
              <w:bottom w:val="nil"/>
              <w:right w:val="nil"/>
            </w:tcBorders>
            <w:shd w:val="clear" w:color="auto" w:fill="auto"/>
            <w:noWrap/>
            <w:vAlign w:val="bottom"/>
            <w:hideMark/>
          </w:tcPr>
          <w:p w14:paraId="00B21B31" w14:textId="77777777" w:rsidR="00153816" w:rsidRPr="00EE05AA" w:rsidRDefault="00153816" w:rsidP="006B1E56">
            <w:pPr>
              <w:rPr>
                <w:rFonts w:asciiTheme="majorHAnsi" w:hAnsiTheme="majorHAnsi"/>
              </w:rPr>
            </w:pPr>
            <w:r w:rsidRPr="00EE05AA">
              <w:rPr>
                <w:rFonts w:asciiTheme="majorHAnsi" w:hAnsiTheme="majorHAnsi"/>
              </w:rPr>
              <w:t>45</w:t>
            </w:r>
          </w:p>
        </w:tc>
        <w:tc>
          <w:tcPr>
            <w:tcW w:w="1559" w:type="dxa"/>
            <w:tcBorders>
              <w:top w:val="nil"/>
              <w:left w:val="nil"/>
              <w:bottom w:val="nil"/>
              <w:right w:val="nil"/>
            </w:tcBorders>
            <w:shd w:val="clear" w:color="auto" w:fill="auto"/>
            <w:noWrap/>
            <w:vAlign w:val="bottom"/>
            <w:hideMark/>
          </w:tcPr>
          <w:p w14:paraId="4BC9CD63" w14:textId="77777777" w:rsidR="00153816" w:rsidRPr="00EE05AA" w:rsidRDefault="00153816" w:rsidP="006B1E56">
            <w:pPr>
              <w:rPr>
                <w:rFonts w:asciiTheme="majorHAnsi" w:hAnsiTheme="majorHAnsi"/>
              </w:rPr>
            </w:pPr>
            <w:r w:rsidRPr="00EE05AA">
              <w:rPr>
                <w:rFonts w:asciiTheme="majorHAnsi" w:hAnsiTheme="majorHAnsi"/>
              </w:rPr>
              <w:t>19</w:t>
            </w:r>
          </w:p>
        </w:tc>
        <w:tc>
          <w:tcPr>
            <w:tcW w:w="6205" w:type="dxa"/>
            <w:gridSpan w:val="4"/>
            <w:tcBorders>
              <w:top w:val="nil"/>
              <w:left w:val="nil"/>
              <w:bottom w:val="nil"/>
              <w:right w:val="nil"/>
            </w:tcBorders>
            <w:shd w:val="clear" w:color="auto" w:fill="auto"/>
            <w:noWrap/>
            <w:vAlign w:val="bottom"/>
            <w:hideMark/>
          </w:tcPr>
          <w:p w14:paraId="17D93DB6" w14:textId="77777777" w:rsidR="00153816" w:rsidRPr="00EE05AA" w:rsidRDefault="00153816" w:rsidP="006B1E56">
            <w:pPr>
              <w:rPr>
                <w:rFonts w:asciiTheme="majorHAnsi" w:hAnsiTheme="majorHAnsi"/>
              </w:rPr>
            </w:pPr>
            <w:r w:rsidRPr="00EE05AA">
              <w:rPr>
                <w:rFonts w:asciiTheme="majorHAnsi" w:hAnsiTheme="majorHAnsi"/>
              </w:rPr>
              <w:t>20</w:t>
            </w:r>
          </w:p>
        </w:tc>
        <w:tc>
          <w:tcPr>
            <w:tcW w:w="1846" w:type="dxa"/>
            <w:tcBorders>
              <w:top w:val="nil"/>
              <w:left w:val="nil"/>
              <w:bottom w:val="nil"/>
              <w:right w:val="nil"/>
            </w:tcBorders>
            <w:shd w:val="clear" w:color="auto" w:fill="auto"/>
            <w:noWrap/>
            <w:vAlign w:val="bottom"/>
            <w:hideMark/>
          </w:tcPr>
          <w:p w14:paraId="04213FE5" w14:textId="77777777" w:rsidR="00153816" w:rsidRPr="00EE05AA" w:rsidRDefault="00153816" w:rsidP="006B1E56">
            <w:pPr>
              <w:jc w:val="right"/>
              <w:rPr>
                <w:rFonts w:asciiTheme="majorHAnsi" w:hAnsiTheme="majorHAnsi"/>
              </w:rPr>
            </w:pPr>
            <w:r w:rsidRPr="00EE05AA">
              <w:rPr>
                <w:rFonts w:asciiTheme="majorHAnsi" w:hAnsiTheme="majorHAnsi"/>
              </w:rPr>
              <w:t>252</w:t>
            </w:r>
          </w:p>
        </w:tc>
        <w:tc>
          <w:tcPr>
            <w:tcW w:w="1818" w:type="dxa"/>
            <w:tcBorders>
              <w:top w:val="nil"/>
              <w:left w:val="nil"/>
              <w:bottom w:val="nil"/>
              <w:right w:val="nil"/>
            </w:tcBorders>
            <w:shd w:val="clear" w:color="auto" w:fill="auto"/>
            <w:noWrap/>
            <w:vAlign w:val="bottom"/>
            <w:hideMark/>
          </w:tcPr>
          <w:p w14:paraId="0A9CE054" w14:textId="77777777" w:rsidR="00153816" w:rsidRPr="00EE05AA" w:rsidRDefault="00153816" w:rsidP="006B1E56">
            <w:pPr>
              <w:jc w:val="right"/>
              <w:rPr>
                <w:rFonts w:asciiTheme="majorHAnsi" w:hAnsiTheme="majorHAnsi"/>
              </w:rPr>
            </w:pPr>
          </w:p>
        </w:tc>
      </w:tr>
      <w:tr w:rsidR="00153816" w:rsidRPr="00EE05AA" w14:paraId="14D30538" w14:textId="77777777" w:rsidTr="006B1E56">
        <w:trPr>
          <w:trHeight w:val="280"/>
        </w:trPr>
        <w:tc>
          <w:tcPr>
            <w:tcW w:w="284" w:type="dxa"/>
            <w:tcBorders>
              <w:top w:val="nil"/>
              <w:left w:val="nil"/>
              <w:bottom w:val="nil"/>
              <w:right w:val="nil"/>
            </w:tcBorders>
            <w:shd w:val="clear" w:color="auto" w:fill="auto"/>
            <w:noWrap/>
            <w:vAlign w:val="bottom"/>
            <w:hideMark/>
          </w:tcPr>
          <w:p w14:paraId="7AB027D9" w14:textId="77777777" w:rsidR="00153816" w:rsidRPr="00EE05AA" w:rsidRDefault="00153816" w:rsidP="006B1E56">
            <w:pPr>
              <w:rPr>
                <w:rFonts w:asciiTheme="majorHAnsi" w:hAnsiTheme="majorHAnsi"/>
              </w:rPr>
            </w:pPr>
          </w:p>
        </w:tc>
        <w:tc>
          <w:tcPr>
            <w:tcW w:w="1865" w:type="dxa"/>
            <w:tcBorders>
              <w:top w:val="nil"/>
              <w:left w:val="nil"/>
              <w:bottom w:val="nil"/>
              <w:right w:val="nil"/>
            </w:tcBorders>
            <w:shd w:val="clear" w:color="auto" w:fill="auto"/>
            <w:noWrap/>
            <w:vAlign w:val="bottom"/>
            <w:hideMark/>
          </w:tcPr>
          <w:p w14:paraId="52F5A611" w14:textId="77777777" w:rsidR="00153816" w:rsidRPr="00EE05AA" w:rsidRDefault="00153816" w:rsidP="006B1E56">
            <w:pPr>
              <w:rPr>
                <w:rFonts w:asciiTheme="majorHAnsi" w:hAnsiTheme="majorHAnsi"/>
              </w:rPr>
            </w:pPr>
            <w:r w:rsidRPr="00EE05AA">
              <w:rPr>
                <w:rFonts w:asciiTheme="majorHAnsi" w:hAnsiTheme="majorHAnsi"/>
              </w:rPr>
              <w:t>Custody</w:t>
            </w:r>
          </w:p>
        </w:tc>
        <w:tc>
          <w:tcPr>
            <w:tcW w:w="2552" w:type="dxa"/>
            <w:gridSpan w:val="4"/>
            <w:tcBorders>
              <w:top w:val="nil"/>
              <w:left w:val="nil"/>
              <w:bottom w:val="nil"/>
              <w:right w:val="nil"/>
            </w:tcBorders>
            <w:shd w:val="clear" w:color="auto" w:fill="auto"/>
            <w:noWrap/>
            <w:vAlign w:val="bottom"/>
            <w:hideMark/>
          </w:tcPr>
          <w:p w14:paraId="34F0CC4B" w14:textId="77777777" w:rsidR="00153816" w:rsidRPr="00EE05AA" w:rsidRDefault="00153816" w:rsidP="006B1E56">
            <w:pPr>
              <w:jc w:val="right"/>
              <w:rPr>
                <w:rFonts w:asciiTheme="majorHAnsi" w:hAnsiTheme="majorHAnsi"/>
              </w:rPr>
            </w:pPr>
            <w:r w:rsidRPr="00EE05AA">
              <w:rPr>
                <w:rFonts w:asciiTheme="majorHAnsi" w:hAnsiTheme="majorHAnsi"/>
              </w:rPr>
              <w:t>14</w:t>
            </w:r>
          </w:p>
        </w:tc>
        <w:tc>
          <w:tcPr>
            <w:tcW w:w="2409" w:type="dxa"/>
            <w:gridSpan w:val="4"/>
            <w:tcBorders>
              <w:top w:val="nil"/>
              <w:left w:val="nil"/>
              <w:bottom w:val="nil"/>
              <w:right w:val="nil"/>
            </w:tcBorders>
            <w:shd w:val="clear" w:color="auto" w:fill="auto"/>
            <w:noWrap/>
            <w:vAlign w:val="bottom"/>
            <w:hideMark/>
          </w:tcPr>
          <w:p w14:paraId="14DA253A" w14:textId="77777777" w:rsidR="00153816" w:rsidRPr="00EE05AA" w:rsidRDefault="00153816" w:rsidP="006B1E56">
            <w:pPr>
              <w:rPr>
                <w:rFonts w:asciiTheme="majorHAnsi" w:hAnsiTheme="majorHAnsi"/>
              </w:rPr>
            </w:pPr>
            <w:r w:rsidRPr="00EE05AA">
              <w:rPr>
                <w:rFonts w:asciiTheme="majorHAnsi" w:hAnsiTheme="majorHAnsi"/>
              </w:rPr>
              <w:t xml:space="preserve">                                    9</w:t>
            </w:r>
          </w:p>
        </w:tc>
        <w:tc>
          <w:tcPr>
            <w:tcW w:w="993" w:type="dxa"/>
            <w:tcBorders>
              <w:top w:val="nil"/>
              <w:left w:val="nil"/>
              <w:bottom w:val="nil"/>
              <w:right w:val="nil"/>
            </w:tcBorders>
            <w:shd w:val="clear" w:color="auto" w:fill="auto"/>
            <w:noWrap/>
            <w:vAlign w:val="bottom"/>
            <w:hideMark/>
          </w:tcPr>
          <w:p w14:paraId="0FD2DC98" w14:textId="77777777" w:rsidR="00153816" w:rsidRPr="00EE05AA" w:rsidRDefault="00153816" w:rsidP="006B1E56">
            <w:pPr>
              <w:rPr>
                <w:rFonts w:asciiTheme="majorHAnsi" w:hAnsiTheme="majorHAnsi"/>
              </w:rPr>
            </w:pPr>
            <w:r w:rsidRPr="00EE05AA">
              <w:rPr>
                <w:rFonts w:asciiTheme="majorHAnsi" w:hAnsiTheme="majorHAnsi"/>
              </w:rPr>
              <w:t>12</w:t>
            </w:r>
          </w:p>
        </w:tc>
        <w:tc>
          <w:tcPr>
            <w:tcW w:w="1134" w:type="dxa"/>
            <w:gridSpan w:val="5"/>
            <w:tcBorders>
              <w:top w:val="nil"/>
              <w:left w:val="nil"/>
              <w:bottom w:val="nil"/>
              <w:right w:val="nil"/>
            </w:tcBorders>
            <w:shd w:val="clear" w:color="auto" w:fill="auto"/>
            <w:noWrap/>
            <w:vAlign w:val="bottom"/>
            <w:hideMark/>
          </w:tcPr>
          <w:p w14:paraId="27656160" w14:textId="77777777" w:rsidR="00153816" w:rsidRPr="00EE05AA" w:rsidRDefault="00153816" w:rsidP="006B1E56">
            <w:pPr>
              <w:rPr>
                <w:rFonts w:asciiTheme="majorHAnsi" w:hAnsiTheme="majorHAnsi"/>
              </w:rPr>
            </w:pPr>
            <w:r w:rsidRPr="00EE05AA">
              <w:rPr>
                <w:rFonts w:asciiTheme="majorHAnsi" w:hAnsiTheme="majorHAnsi"/>
              </w:rPr>
              <w:t>9</w:t>
            </w:r>
          </w:p>
        </w:tc>
        <w:tc>
          <w:tcPr>
            <w:tcW w:w="1559" w:type="dxa"/>
            <w:tcBorders>
              <w:top w:val="nil"/>
              <w:left w:val="nil"/>
              <w:bottom w:val="nil"/>
              <w:right w:val="nil"/>
            </w:tcBorders>
            <w:shd w:val="clear" w:color="auto" w:fill="auto"/>
            <w:noWrap/>
            <w:vAlign w:val="bottom"/>
            <w:hideMark/>
          </w:tcPr>
          <w:p w14:paraId="77557584" w14:textId="77777777" w:rsidR="00153816" w:rsidRPr="00EE05AA" w:rsidRDefault="00153816" w:rsidP="006B1E56">
            <w:pPr>
              <w:rPr>
                <w:rFonts w:asciiTheme="majorHAnsi" w:hAnsiTheme="majorHAnsi"/>
              </w:rPr>
            </w:pPr>
            <w:r w:rsidRPr="00EE05AA">
              <w:rPr>
                <w:rFonts w:asciiTheme="majorHAnsi" w:hAnsiTheme="majorHAnsi"/>
              </w:rPr>
              <w:t>4</w:t>
            </w:r>
          </w:p>
        </w:tc>
        <w:tc>
          <w:tcPr>
            <w:tcW w:w="6205" w:type="dxa"/>
            <w:gridSpan w:val="4"/>
            <w:tcBorders>
              <w:top w:val="nil"/>
              <w:left w:val="nil"/>
              <w:bottom w:val="nil"/>
              <w:right w:val="nil"/>
            </w:tcBorders>
            <w:shd w:val="clear" w:color="auto" w:fill="auto"/>
            <w:noWrap/>
            <w:vAlign w:val="bottom"/>
            <w:hideMark/>
          </w:tcPr>
          <w:p w14:paraId="248A3A66" w14:textId="77777777" w:rsidR="00153816" w:rsidRPr="00EE05AA" w:rsidRDefault="00153816" w:rsidP="006B1E56">
            <w:pPr>
              <w:rPr>
                <w:rFonts w:asciiTheme="majorHAnsi" w:hAnsiTheme="majorHAnsi"/>
              </w:rPr>
            </w:pPr>
            <w:r w:rsidRPr="00EE05AA">
              <w:rPr>
                <w:rFonts w:asciiTheme="majorHAnsi" w:hAnsiTheme="majorHAnsi"/>
              </w:rPr>
              <w:t>4</w:t>
            </w:r>
          </w:p>
        </w:tc>
        <w:tc>
          <w:tcPr>
            <w:tcW w:w="1846" w:type="dxa"/>
            <w:tcBorders>
              <w:top w:val="nil"/>
              <w:left w:val="nil"/>
              <w:bottom w:val="nil"/>
              <w:right w:val="nil"/>
            </w:tcBorders>
            <w:shd w:val="clear" w:color="auto" w:fill="auto"/>
            <w:noWrap/>
            <w:vAlign w:val="bottom"/>
            <w:hideMark/>
          </w:tcPr>
          <w:p w14:paraId="65EF0ED4" w14:textId="77777777" w:rsidR="00153816" w:rsidRPr="00EE05AA" w:rsidRDefault="00153816" w:rsidP="006B1E56">
            <w:pPr>
              <w:jc w:val="right"/>
              <w:rPr>
                <w:rFonts w:asciiTheme="majorHAnsi" w:hAnsiTheme="majorHAnsi"/>
              </w:rPr>
            </w:pPr>
            <w:r w:rsidRPr="00EE05AA">
              <w:rPr>
                <w:rFonts w:asciiTheme="majorHAnsi" w:hAnsiTheme="majorHAnsi"/>
              </w:rPr>
              <w:t>52</w:t>
            </w:r>
          </w:p>
        </w:tc>
        <w:tc>
          <w:tcPr>
            <w:tcW w:w="1818" w:type="dxa"/>
            <w:tcBorders>
              <w:top w:val="nil"/>
              <w:left w:val="nil"/>
              <w:bottom w:val="nil"/>
              <w:right w:val="nil"/>
            </w:tcBorders>
            <w:shd w:val="clear" w:color="auto" w:fill="auto"/>
            <w:noWrap/>
            <w:vAlign w:val="bottom"/>
            <w:hideMark/>
          </w:tcPr>
          <w:p w14:paraId="1F18C890" w14:textId="77777777" w:rsidR="00153816" w:rsidRPr="00EE05AA" w:rsidRDefault="00153816" w:rsidP="006B1E56">
            <w:pPr>
              <w:jc w:val="right"/>
              <w:rPr>
                <w:rFonts w:asciiTheme="majorHAnsi" w:hAnsiTheme="majorHAnsi"/>
              </w:rPr>
            </w:pPr>
          </w:p>
        </w:tc>
      </w:tr>
      <w:tr w:rsidR="00153816" w:rsidRPr="00EE05AA" w14:paraId="542FC501" w14:textId="77777777" w:rsidTr="006B1E56">
        <w:trPr>
          <w:trHeight w:val="280"/>
        </w:trPr>
        <w:tc>
          <w:tcPr>
            <w:tcW w:w="284" w:type="dxa"/>
            <w:tcBorders>
              <w:top w:val="nil"/>
              <w:left w:val="nil"/>
              <w:bottom w:val="nil"/>
              <w:right w:val="nil"/>
            </w:tcBorders>
            <w:shd w:val="clear" w:color="auto" w:fill="auto"/>
            <w:noWrap/>
            <w:vAlign w:val="bottom"/>
            <w:hideMark/>
          </w:tcPr>
          <w:p w14:paraId="7E7C0510" w14:textId="77777777" w:rsidR="00153816" w:rsidRPr="00EE05AA" w:rsidRDefault="00153816" w:rsidP="006B1E56">
            <w:pPr>
              <w:rPr>
                <w:rFonts w:asciiTheme="majorHAnsi" w:hAnsiTheme="majorHAnsi"/>
              </w:rPr>
            </w:pPr>
          </w:p>
        </w:tc>
        <w:tc>
          <w:tcPr>
            <w:tcW w:w="1865" w:type="dxa"/>
            <w:tcBorders>
              <w:top w:val="nil"/>
              <w:left w:val="nil"/>
              <w:bottom w:val="nil"/>
              <w:right w:val="nil"/>
            </w:tcBorders>
            <w:shd w:val="clear" w:color="auto" w:fill="auto"/>
            <w:noWrap/>
            <w:vAlign w:val="bottom"/>
            <w:hideMark/>
          </w:tcPr>
          <w:p w14:paraId="76DB4134" w14:textId="77777777" w:rsidR="00153816" w:rsidRPr="00EE05AA" w:rsidRDefault="00153816" w:rsidP="006B1E56">
            <w:pPr>
              <w:rPr>
                <w:rFonts w:asciiTheme="majorHAnsi" w:hAnsiTheme="majorHAnsi"/>
              </w:rPr>
            </w:pPr>
            <w:r w:rsidRPr="00EE05AA">
              <w:rPr>
                <w:rFonts w:asciiTheme="majorHAnsi" w:hAnsiTheme="majorHAnsi"/>
              </w:rPr>
              <w:t>First Tier</w:t>
            </w:r>
          </w:p>
        </w:tc>
        <w:tc>
          <w:tcPr>
            <w:tcW w:w="2552" w:type="dxa"/>
            <w:gridSpan w:val="4"/>
            <w:tcBorders>
              <w:top w:val="nil"/>
              <w:left w:val="nil"/>
              <w:bottom w:val="nil"/>
              <w:right w:val="nil"/>
            </w:tcBorders>
            <w:shd w:val="clear" w:color="auto" w:fill="auto"/>
            <w:noWrap/>
            <w:vAlign w:val="bottom"/>
            <w:hideMark/>
          </w:tcPr>
          <w:p w14:paraId="5461549C" w14:textId="77777777" w:rsidR="00153816" w:rsidRPr="00EE05AA" w:rsidRDefault="00153816" w:rsidP="006B1E56">
            <w:pPr>
              <w:jc w:val="right"/>
              <w:rPr>
                <w:rFonts w:asciiTheme="majorHAnsi" w:hAnsiTheme="majorHAnsi"/>
              </w:rPr>
            </w:pPr>
            <w:r w:rsidRPr="00EE05AA">
              <w:rPr>
                <w:rFonts w:asciiTheme="majorHAnsi" w:hAnsiTheme="majorHAnsi"/>
              </w:rPr>
              <w:t>96</w:t>
            </w:r>
          </w:p>
        </w:tc>
        <w:tc>
          <w:tcPr>
            <w:tcW w:w="2409" w:type="dxa"/>
            <w:gridSpan w:val="4"/>
            <w:tcBorders>
              <w:top w:val="nil"/>
              <w:left w:val="nil"/>
              <w:bottom w:val="nil"/>
              <w:right w:val="nil"/>
            </w:tcBorders>
            <w:shd w:val="clear" w:color="auto" w:fill="auto"/>
            <w:noWrap/>
            <w:vAlign w:val="bottom"/>
            <w:hideMark/>
          </w:tcPr>
          <w:p w14:paraId="34F7D417" w14:textId="77777777" w:rsidR="00153816" w:rsidRPr="00EE05AA" w:rsidRDefault="00153816" w:rsidP="006B1E56">
            <w:pPr>
              <w:rPr>
                <w:rFonts w:asciiTheme="majorHAnsi" w:hAnsiTheme="majorHAnsi"/>
              </w:rPr>
            </w:pPr>
            <w:r w:rsidRPr="00EE05AA">
              <w:rPr>
                <w:rFonts w:asciiTheme="majorHAnsi" w:hAnsiTheme="majorHAnsi"/>
              </w:rPr>
              <w:t xml:space="preserve">                                   79</w:t>
            </w:r>
          </w:p>
        </w:tc>
        <w:tc>
          <w:tcPr>
            <w:tcW w:w="993" w:type="dxa"/>
            <w:tcBorders>
              <w:top w:val="nil"/>
              <w:left w:val="nil"/>
              <w:bottom w:val="nil"/>
              <w:right w:val="nil"/>
            </w:tcBorders>
            <w:shd w:val="clear" w:color="auto" w:fill="auto"/>
            <w:noWrap/>
            <w:vAlign w:val="bottom"/>
            <w:hideMark/>
          </w:tcPr>
          <w:p w14:paraId="22905405" w14:textId="77777777" w:rsidR="00153816" w:rsidRPr="00EE05AA" w:rsidRDefault="00153816" w:rsidP="006B1E56">
            <w:pPr>
              <w:rPr>
                <w:rFonts w:asciiTheme="majorHAnsi" w:hAnsiTheme="majorHAnsi"/>
              </w:rPr>
            </w:pPr>
            <w:r w:rsidRPr="00EE05AA">
              <w:rPr>
                <w:rFonts w:asciiTheme="majorHAnsi" w:hAnsiTheme="majorHAnsi"/>
              </w:rPr>
              <w:t>97</w:t>
            </w:r>
          </w:p>
        </w:tc>
        <w:tc>
          <w:tcPr>
            <w:tcW w:w="1134" w:type="dxa"/>
            <w:gridSpan w:val="5"/>
            <w:tcBorders>
              <w:top w:val="nil"/>
              <w:left w:val="nil"/>
              <w:bottom w:val="nil"/>
              <w:right w:val="nil"/>
            </w:tcBorders>
            <w:shd w:val="clear" w:color="auto" w:fill="auto"/>
            <w:noWrap/>
            <w:vAlign w:val="bottom"/>
            <w:hideMark/>
          </w:tcPr>
          <w:p w14:paraId="15F3F93E" w14:textId="77777777" w:rsidR="00153816" w:rsidRPr="00EE05AA" w:rsidRDefault="00153816" w:rsidP="006B1E56">
            <w:pPr>
              <w:rPr>
                <w:rFonts w:asciiTheme="majorHAnsi" w:hAnsiTheme="majorHAnsi"/>
              </w:rPr>
            </w:pPr>
            <w:r w:rsidRPr="00EE05AA">
              <w:rPr>
                <w:rFonts w:asciiTheme="majorHAnsi" w:hAnsiTheme="majorHAnsi"/>
              </w:rPr>
              <w:t>74</w:t>
            </w:r>
          </w:p>
        </w:tc>
        <w:tc>
          <w:tcPr>
            <w:tcW w:w="1559" w:type="dxa"/>
            <w:tcBorders>
              <w:top w:val="nil"/>
              <w:left w:val="nil"/>
              <w:bottom w:val="nil"/>
              <w:right w:val="nil"/>
            </w:tcBorders>
            <w:shd w:val="clear" w:color="auto" w:fill="auto"/>
            <w:noWrap/>
            <w:vAlign w:val="bottom"/>
            <w:hideMark/>
          </w:tcPr>
          <w:p w14:paraId="4BAD868E" w14:textId="77777777" w:rsidR="00153816" w:rsidRPr="00EE05AA" w:rsidRDefault="00153816" w:rsidP="006B1E56">
            <w:pPr>
              <w:rPr>
                <w:rFonts w:asciiTheme="majorHAnsi" w:hAnsiTheme="majorHAnsi"/>
              </w:rPr>
            </w:pPr>
            <w:r w:rsidRPr="00EE05AA">
              <w:rPr>
                <w:rFonts w:asciiTheme="majorHAnsi" w:hAnsiTheme="majorHAnsi"/>
              </w:rPr>
              <w:t>62</w:t>
            </w:r>
          </w:p>
        </w:tc>
        <w:tc>
          <w:tcPr>
            <w:tcW w:w="6205" w:type="dxa"/>
            <w:gridSpan w:val="4"/>
            <w:tcBorders>
              <w:top w:val="nil"/>
              <w:left w:val="nil"/>
              <w:bottom w:val="nil"/>
              <w:right w:val="nil"/>
            </w:tcBorders>
            <w:shd w:val="clear" w:color="auto" w:fill="auto"/>
            <w:noWrap/>
            <w:vAlign w:val="bottom"/>
            <w:hideMark/>
          </w:tcPr>
          <w:p w14:paraId="5B0FD6EB" w14:textId="77777777" w:rsidR="00153816" w:rsidRPr="00EE05AA" w:rsidRDefault="00153816" w:rsidP="006B1E56">
            <w:pPr>
              <w:rPr>
                <w:rFonts w:asciiTheme="majorHAnsi" w:hAnsiTheme="majorHAnsi"/>
              </w:rPr>
            </w:pPr>
            <w:r w:rsidRPr="00EE05AA">
              <w:rPr>
                <w:rFonts w:asciiTheme="majorHAnsi" w:hAnsiTheme="majorHAnsi"/>
              </w:rPr>
              <w:t>62</w:t>
            </w:r>
          </w:p>
        </w:tc>
        <w:tc>
          <w:tcPr>
            <w:tcW w:w="1846" w:type="dxa"/>
            <w:tcBorders>
              <w:top w:val="nil"/>
              <w:left w:val="nil"/>
              <w:bottom w:val="nil"/>
              <w:right w:val="nil"/>
            </w:tcBorders>
            <w:shd w:val="clear" w:color="auto" w:fill="auto"/>
            <w:noWrap/>
            <w:vAlign w:val="bottom"/>
            <w:hideMark/>
          </w:tcPr>
          <w:p w14:paraId="09B4CD57" w14:textId="77777777" w:rsidR="00153816" w:rsidRPr="00EE05AA" w:rsidRDefault="00153816" w:rsidP="006B1E56">
            <w:pPr>
              <w:jc w:val="right"/>
              <w:rPr>
                <w:rFonts w:asciiTheme="majorHAnsi" w:hAnsiTheme="majorHAnsi"/>
              </w:rPr>
            </w:pPr>
            <w:r w:rsidRPr="00EE05AA">
              <w:rPr>
                <w:rFonts w:asciiTheme="majorHAnsi" w:hAnsiTheme="majorHAnsi"/>
              </w:rPr>
              <w:t>470</w:t>
            </w:r>
          </w:p>
        </w:tc>
        <w:tc>
          <w:tcPr>
            <w:tcW w:w="1818" w:type="dxa"/>
            <w:tcBorders>
              <w:top w:val="nil"/>
              <w:left w:val="nil"/>
              <w:bottom w:val="nil"/>
              <w:right w:val="nil"/>
            </w:tcBorders>
            <w:shd w:val="clear" w:color="auto" w:fill="auto"/>
            <w:noWrap/>
            <w:vAlign w:val="bottom"/>
            <w:hideMark/>
          </w:tcPr>
          <w:p w14:paraId="78363F85" w14:textId="77777777" w:rsidR="00153816" w:rsidRPr="00EE05AA" w:rsidRDefault="00153816" w:rsidP="006B1E56">
            <w:pPr>
              <w:jc w:val="right"/>
              <w:rPr>
                <w:rFonts w:asciiTheme="majorHAnsi" w:hAnsiTheme="majorHAnsi"/>
              </w:rPr>
            </w:pPr>
          </w:p>
        </w:tc>
      </w:tr>
      <w:tr w:rsidR="00153816" w:rsidRPr="00EE05AA" w14:paraId="51C8DE97" w14:textId="77777777" w:rsidTr="006B1E56">
        <w:trPr>
          <w:trHeight w:val="280"/>
        </w:trPr>
        <w:tc>
          <w:tcPr>
            <w:tcW w:w="284" w:type="dxa"/>
            <w:tcBorders>
              <w:top w:val="nil"/>
              <w:left w:val="nil"/>
              <w:bottom w:val="nil"/>
              <w:right w:val="nil"/>
            </w:tcBorders>
            <w:shd w:val="clear" w:color="auto" w:fill="auto"/>
            <w:noWrap/>
            <w:vAlign w:val="bottom"/>
            <w:hideMark/>
          </w:tcPr>
          <w:p w14:paraId="47A5A296" w14:textId="77777777" w:rsidR="00153816" w:rsidRPr="00EE05AA" w:rsidRDefault="00153816" w:rsidP="006B1E56">
            <w:pPr>
              <w:rPr>
                <w:rFonts w:asciiTheme="majorHAnsi" w:hAnsiTheme="majorHAnsi"/>
              </w:rPr>
            </w:pPr>
          </w:p>
        </w:tc>
        <w:tc>
          <w:tcPr>
            <w:tcW w:w="3566" w:type="dxa"/>
            <w:gridSpan w:val="2"/>
            <w:tcBorders>
              <w:top w:val="nil"/>
              <w:left w:val="nil"/>
              <w:bottom w:val="nil"/>
              <w:right w:val="nil"/>
            </w:tcBorders>
            <w:shd w:val="clear" w:color="auto" w:fill="auto"/>
            <w:noWrap/>
            <w:vAlign w:val="bottom"/>
            <w:hideMark/>
          </w:tcPr>
          <w:p w14:paraId="385B2B8F" w14:textId="77777777" w:rsidR="00153816" w:rsidRPr="00EE05AA" w:rsidRDefault="00153816" w:rsidP="006B1E56">
            <w:pPr>
              <w:rPr>
                <w:rFonts w:asciiTheme="majorHAnsi" w:hAnsiTheme="majorHAnsi"/>
              </w:rPr>
            </w:pPr>
            <w:r w:rsidRPr="00EE05AA">
              <w:rPr>
                <w:rFonts w:asciiTheme="majorHAnsi" w:hAnsiTheme="majorHAnsi"/>
              </w:rPr>
              <w:t>Pre Court</w:t>
            </w:r>
          </w:p>
        </w:tc>
        <w:tc>
          <w:tcPr>
            <w:tcW w:w="851" w:type="dxa"/>
            <w:gridSpan w:val="3"/>
            <w:tcBorders>
              <w:top w:val="nil"/>
              <w:left w:val="nil"/>
              <w:bottom w:val="nil"/>
              <w:right w:val="nil"/>
            </w:tcBorders>
            <w:shd w:val="clear" w:color="auto" w:fill="auto"/>
            <w:noWrap/>
            <w:vAlign w:val="bottom"/>
            <w:hideMark/>
          </w:tcPr>
          <w:p w14:paraId="1CA2E957" w14:textId="77777777" w:rsidR="00153816" w:rsidRPr="00EE05AA" w:rsidRDefault="00153816" w:rsidP="006B1E56">
            <w:pPr>
              <w:jc w:val="right"/>
              <w:rPr>
                <w:rFonts w:asciiTheme="majorHAnsi" w:hAnsiTheme="majorHAnsi"/>
              </w:rPr>
            </w:pPr>
            <w:r w:rsidRPr="00EE05AA">
              <w:rPr>
                <w:rFonts w:asciiTheme="majorHAnsi" w:hAnsiTheme="majorHAnsi"/>
              </w:rPr>
              <w:t>59</w:t>
            </w:r>
          </w:p>
        </w:tc>
        <w:tc>
          <w:tcPr>
            <w:tcW w:w="2409" w:type="dxa"/>
            <w:gridSpan w:val="4"/>
            <w:tcBorders>
              <w:top w:val="nil"/>
              <w:left w:val="nil"/>
              <w:bottom w:val="nil"/>
              <w:right w:val="nil"/>
            </w:tcBorders>
            <w:shd w:val="clear" w:color="auto" w:fill="auto"/>
            <w:noWrap/>
            <w:vAlign w:val="bottom"/>
            <w:hideMark/>
          </w:tcPr>
          <w:p w14:paraId="30DE60A9" w14:textId="77777777" w:rsidR="00153816" w:rsidRPr="00EE05AA" w:rsidRDefault="00153816" w:rsidP="006B1E56">
            <w:pPr>
              <w:rPr>
                <w:rFonts w:asciiTheme="majorHAnsi" w:hAnsiTheme="majorHAnsi"/>
              </w:rPr>
            </w:pPr>
            <w:r w:rsidRPr="00EE05AA">
              <w:rPr>
                <w:rFonts w:asciiTheme="majorHAnsi" w:hAnsiTheme="majorHAnsi"/>
              </w:rPr>
              <w:t xml:space="preserve">                                    21</w:t>
            </w:r>
          </w:p>
        </w:tc>
        <w:tc>
          <w:tcPr>
            <w:tcW w:w="993" w:type="dxa"/>
            <w:tcBorders>
              <w:top w:val="nil"/>
              <w:left w:val="nil"/>
              <w:bottom w:val="nil"/>
              <w:right w:val="nil"/>
            </w:tcBorders>
            <w:shd w:val="clear" w:color="auto" w:fill="auto"/>
            <w:noWrap/>
            <w:vAlign w:val="bottom"/>
            <w:hideMark/>
          </w:tcPr>
          <w:p w14:paraId="5E2EF3C2" w14:textId="77777777" w:rsidR="00153816" w:rsidRPr="00EE05AA" w:rsidRDefault="00153816" w:rsidP="006B1E56">
            <w:pPr>
              <w:rPr>
                <w:rFonts w:asciiTheme="majorHAnsi" w:hAnsiTheme="majorHAnsi"/>
              </w:rPr>
            </w:pPr>
            <w:r w:rsidRPr="00EE05AA">
              <w:rPr>
                <w:rFonts w:asciiTheme="majorHAnsi" w:hAnsiTheme="majorHAnsi"/>
              </w:rPr>
              <w:t>25</w:t>
            </w:r>
          </w:p>
        </w:tc>
        <w:tc>
          <w:tcPr>
            <w:tcW w:w="1134" w:type="dxa"/>
            <w:gridSpan w:val="5"/>
            <w:tcBorders>
              <w:top w:val="nil"/>
              <w:left w:val="nil"/>
              <w:bottom w:val="nil"/>
              <w:right w:val="nil"/>
            </w:tcBorders>
            <w:shd w:val="clear" w:color="auto" w:fill="auto"/>
            <w:noWrap/>
            <w:vAlign w:val="bottom"/>
            <w:hideMark/>
          </w:tcPr>
          <w:p w14:paraId="4A4A3470" w14:textId="77777777" w:rsidR="00153816" w:rsidRPr="00EE05AA" w:rsidRDefault="00153816" w:rsidP="006B1E56">
            <w:pPr>
              <w:rPr>
                <w:rFonts w:asciiTheme="majorHAnsi" w:hAnsiTheme="majorHAnsi"/>
              </w:rPr>
            </w:pPr>
            <w:r w:rsidRPr="00EE05AA">
              <w:rPr>
                <w:rFonts w:asciiTheme="majorHAnsi" w:hAnsiTheme="majorHAnsi"/>
              </w:rPr>
              <w:t>12</w:t>
            </w:r>
          </w:p>
        </w:tc>
        <w:tc>
          <w:tcPr>
            <w:tcW w:w="1559" w:type="dxa"/>
            <w:tcBorders>
              <w:top w:val="nil"/>
              <w:left w:val="nil"/>
              <w:bottom w:val="nil"/>
              <w:right w:val="nil"/>
            </w:tcBorders>
            <w:shd w:val="clear" w:color="auto" w:fill="auto"/>
            <w:noWrap/>
            <w:vAlign w:val="bottom"/>
            <w:hideMark/>
          </w:tcPr>
          <w:p w14:paraId="1BCA9A29" w14:textId="77777777" w:rsidR="00153816" w:rsidRPr="00EE05AA" w:rsidRDefault="00153816" w:rsidP="006B1E56">
            <w:pPr>
              <w:rPr>
                <w:rFonts w:asciiTheme="majorHAnsi" w:hAnsiTheme="majorHAnsi"/>
              </w:rPr>
            </w:pPr>
            <w:r w:rsidRPr="00EE05AA">
              <w:rPr>
                <w:rFonts w:asciiTheme="majorHAnsi" w:hAnsiTheme="majorHAnsi"/>
              </w:rPr>
              <w:t>10</w:t>
            </w:r>
          </w:p>
        </w:tc>
        <w:tc>
          <w:tcPr>
            <w:tcW w:w="6205" w:type="dxa"/>
            <w:gridSpan w:val="4"/>
            <w:tcBorders>
              <w:top w:val="nil"/>
              <w:left w:val="nil"/>
              <w:bottom w:val="nil"/>
              <w:right w:val="nil"/>
            </w:tcBorders>
            <w:shd w:val="clear" w:color="auto" w:fill="auto"/>
            <w:noWrap/>
            <w:vAlign w:val="bottom"/>
            <w:hideMark/>
          </w:tcPr>
          <w:p w14:paraId="4688D8D5" w14:textId="77777777" w:rsidR="00153816" w:rsidRPr="00EE05AA" w:rsidRDefault="00153816" w:rsidP="006B1E56">
            <w:pPr>
              <w:rPr>
                <w:rFonts w:asciiTheme="majorHAnsi" w:hAnsiTheme="majorHAnsi"/>
              </w:rPr>
            </w:pPr>
            <w:r w:rsidRPr="00EE05AA">
              <w:rPr>
                <w:rFonts w:asciiTheme="majorHAnsi" w:hAnsiTheme="majorHAnsi"/>
              </w:rPr>
              <w:t>11</w:t>
            </w:r>
          </w:p>
        </w:tc>
        <w:tc>
          <w:tcPr>
            <w:tcW w:w="1846" w:type="dxa"/>
            <w:tcBorders>
              <w:top w:val="nil"/>
              <w:left w:val="nil"/>
              <w:bottom w:val="nil"/>
              <w:right w:val="nil"/>
            </w:tcBorders>
            <w:shd w:val="clear" w:color="auto" w:fill="auto"/>
            <w:noWrap/>
            <w:vAlign w:val="bottom"/>
            <w:hideMark/>
          </w:tcPr>
          <w:p w14:paraId="0AF3373A" w14:textId="77777777" w:rsidR="00153816" w:rsidRPr="00EE05AA" w:rsidRDefault="00153816" w:rsidP="006B1E56">
            <w:pPr>
              <w:jc w:val="right"/>
              <w:rPr>
                <w:rFonts w:asciiTheme="majorHAnsi" w:hAnsiTheme="majorHAnsi"/>
              </w:rPr>
            </w:pPr>
            <w:r w:rsidRPr="00EE05AA">
              <w:rPr>
                <w:rFonts w:asciiTheme="majorHAnsi" w:hAnsiTheme="majorHAnsi"/>
              </w:rPr>
              <w:t>138</w:t>
            </w:r>
          </w:p>
        </w:tc>
        <w:tc>
          <w:tcPr>
            <w:tcW w:w="1818" w:type="dxa"/>
            <w:tcBorders>
              <w:top w:val="nil"/>
              <w:left w:val="nil"/>
              <w:bottom w:val="nil"/>
              <w:right w:val="nil"/>
            </w:tcBorders>
            <w:shd w:val="clear" w:color="auto" w:fill="auto"/>
            <w:noWrap/>
            <w:vAlign w:val="bottom"/>
            <w:hideMark/>
          </w:tcPr>
          <w:p w14:paraId="2F9A695D" w14:textId="77777777" w:rsidR="00153816" w:rsidRPr="00EE05AA" w:rsidRDefault="00153816" w:rsidP="006B1E56">
            <w:pPr>
              <w:jc w:val="right"/>
              <w:rPr>
                <w:rFonts w:asciiTheme="majorHAnsi" w:hAnsiTheme="majorHAnsi"/>
              </w:rPr>
            </w:pPr>
          </w:p>
        </w:tc>
      </w:tr>
      <w:tr w:rsidR="00153816" w:rsidRPr="00EE05AA" w14:paraId="71C9F8F4" w14:textId="77777777" w:rsidTr="006B1E56">
        <w:trPr>
          <w:trHeight w:val="280"/>
        </w:trPr>
        <w:tc>
          <w:tcPr>
            <w:tcW w:w="284" w:type="dxa"/>
            <w:tcBorders>
              <w:top w:val="nil"/>
              <w:left w:val="nil"/>
              <w:bottom w:val="nil"/>
              <w:right w:val="nil"/>
            </w:tcBorders>
            <w:shd w:val="clear" w:color="auto" w:fill="auto"/>
            <w:noWrap/>
            <w:vAlign w:val="bottom"/>
            <w:hideMark/>
          </w:tcPr>
          <w:p w14:paraId="22101D7A" w14:textId="77777777" w:rsidR="00153816" w:rsidRPr="00EE05AA" w:rsidRDefault="00153816" w:rsidP="006B1E56">
            <w:pPr>
              <w:rPr>
                <w:rFonts w:asciiTheme="majorHAnsi" w:hAnsiTheme="majorHAnsi"/>
              </w:rPr>
            </w:pPr>
          </w:p>
        </w:tc>
        <w:tc>
          <w:tcPr>
            <w:tcW w:w="3991" w:type="dxa"/>
            <w:gridSpan w:val="4"/>
            <w:tcBorders>
              <w:top w:val="single" w:sz="4" w:space="0" w:color="8EA9DB"/>
              <w:left w:val="nil"/>
              <w:bottom w:val="nil"/>
              <w:right w:val="nil"/>
            </w:tcBorders>
            <w:shd w:val="clear" w:color="D9E1F2" w:fill="D9E1F2"/>
            <w:noWrap/>
            <w:vAlign w:val="bottom"/>
            <w:hideMark/>
          </w:tcPr>
          <w:p w14:paraId="5F4783E5" w14:textId="77777777" w:rsidR="00153816" w:rsidRPr="00EE05AA" w:rsidRDefault="00153816" w:rsidP="006B1E56">
            <w:pPr>
              <w:rPr>
                <w:rFonts w:asciiTheme="majorHAnsi" w:hAnsiTheme="majorHAnsi"/>
                <w:b/>
                <w:bCs/>
              </w:rPr>
            </w:pPr>
            <w:r w:rsidRPr="00EE05AA">
              <w:rPr>
                <w:rFonts w:asciiTheme="majorHAnsi" w:hAnsiTheme="majorHAnsi"/>
                <w:b/>
                <w:bCs/>
              </w:rPr>
              <w:t>Grand Total</w:t>
            </w:r>
          </w:p>
        </w:tc>
        <w:tc>
          <w:tcPr>
            <w:tcW w:w="2127" w:type="dxa"/>
            <w:gridSpan w:val="4"/>
            <w:tcBorders>
              <w:top w:val="single" w:sz="4" w:space="0" w:color="8EA9DB"/>
              <w:left w:val="nil"/>
              <w:bottom w:val="nil"/>
              <w:right w:val="nil"/>
            </w:tcBorders>
            <w:shd w:val="clear" w:color="D9E1F2" w:fill="D9E1F2"/>
            <w:noWrap/>
            <w:vAlign w:val="bottom"/>
            <w:hideMark/>
          </w:tcPr>
          <w:p w14:paraId="559BD955" w14:textId="77777777" w:rsidR="00153816" w:rsidRPr="00EE05AA" w:rsidRDefault="00153816" w:rsidP="006B1E56">
            <w:pPr>
              <w:rPr>
                <w:rFonts w:asciiTheme="majorHAnsi" w:hAnsiTheme="majorHAnsi"/>
                <w:b/>
                <w:bCs/>
              </w:rPr>
            </w:pPr>
            <w:r w:rsidRPr="00EE05AA">
              <w:rPr>
                <w:rFonts w:asciiTheme="majorHAnsi" w:hAnsiTheme="majorHAnsi"/>
                <w:b/>
                <w:bCs/>
              </w:rPr>
              <w:t>231</w:t>
            </w:r>
          </w:p>
        </w:tc>
        <w:tc>
          <w:tcPr>
            <w:tcW w:w="708" w:type="dxa"/>
            <w:tcBorders>
              <w:top w:val="single" w:sz="4" w:space="0" w:color="8EA9DB"/>
              <w:left w:val="nil"/>
              <w:bottom w:val="nil"/>
              <w:right w:val="nil"/>
            </w:tcBorders>
            <w:shd w:val="clear" w:color="D9E1F2" w:fill="D9E1F2"/>
            <w:noWrap/>
            <w:vAlign w:val="bottom"/>
            <w:hideMark/>
          </w:tcPr>
          <w:p w14:paraId="56ED765B" w14:textId="77777777" w:rsidR="00153816" w:rsidRPr="00EE05AA" w:rsidRDefault="00153816" w:rsidP="006B1E56">
            <w:pPr>
              <w:rPr>
                <w:rFonts w:asciiTheme="majorHAnsi" w:hAnsiTheme="majorHAnsi"/>
                <w:b/>
                <w:bCs/>
              </w:rPr>
            </w:pPr>
            <w:r w:rsidRPr="00EE05AA">
              <w:rPr>
                <w:rFonts w:asciiTheme="majorHAnsi" w:hAnsiTheme="majorHAnsi"/>
                <w:b/>
                <w:bCs/>
              </w:rPr>
              <w:t>154</w:t>
            </w:r>
          </w:p>
        </w:tc>
        <w:tc>
          <w:tcPr>
            <w:tcW w:w="993" w:type="dxa"/>
            <w:tcBorders>
              <w:top w:val="single" w:sz="4" w:space="0" w:color="8EA9DB"/>
              <w:left w:val="nil"/>
              <w:bottom w:val="nil"/>
              <w:right w:val="nil"/>
            </w:tcBorders>
            <w:shd w:val="clear" w:color="D9E1F2" w:fill="D9E1F2"/>
            <w:noWrap/>
            <w:vAlign w:val="bottom"/>
            <w:hideMark/>
          </w:tcPr>
          <w:p w14:paraId="6EE27126" w14:textId="77777777" w:rsidR="00153816" w:rsidRPr="00EE05AA" w:rsidRDefault="00153816" w:rsidP="006B1E56">
            <w:pPr>
              <w:rPr>
                <w:rFonts w:asciiTheme="majorHAnsi" w:hAnsiTheme="majorHAnsi"/>
                <w:b/>
                <w:bCs/>
              </w:rPr>
            </w:pPr>
            <w:r w:rsidRPr="00EE05AA">
              <w:rPr>
                <w:rFonts w:asciiTheme="majorHAnsi" w:hAnsiTheme="majorHAnsi"/>
                <w:b/>
                <w:bCs/>
              </w:rPr>
              <w:t>195</w:t>
            </w:r>
          </w:p>
        </w:tc>
        <w:tc>
          <w:tcPr>
            <w:tcW w:w="1134" w:type="dxa"/>
            <w:gridSpan w:val="5"/>
            <w:tcBorders>
              <w:top w:val="single" w:sz="4" w:space="0" w:color="8EA9DB"/>
              <w:left w:val="nil"/>
              <w:bottom w:val="nil"/>
              <w:right w:val="nil"/>
            </w:tcBorders>
            <w:shd w:val="clear" w:color="D9E1F2" w:fill="D9E1F2"/>
            <w:noWrap/>
            <w:vAlign w:val="bottom"/>
            <w:hideMark/>
          </w:tcPr>
          <w:p w14:paraId="001BB4D2" w14:textId="77777777" w:rsidR="00153816" w:rsidRPr="00EE05AA" w:rsidRDefault="00153816" w:rsidP="006B1E56">
            <w:pPr>
              <w:rPr>
                <w:rFonts w:asciiTheme="majorHAnsi" w:hAnsiTheme="majorHAnsi"/>
                <w:b/>
                <w:bCs/>
              </w:rPr>
            </w:pPr>
            <w:r w:rsidRPr="00EE05AA">
              <w:rPr>
                <w:rFonts w:asciiTheme="majorHAnsi" w:hAnsiTheme="majorHAnsi"/>
                <w:b/>
                <w:bCs/>
              </w:rPr>
              <w:t>140</w:t>
            </w:r>
          </w:p>
        </w:tc>
        <w:tc>
          <w:tcPr>
            <w:tcW w:w="1559" w:type="dxa"/>
            <w:tcBorders>
              <w:top w:val="single" w:sz="4" w:space="0" w:color="8EA9DB"/>
              <w:left w:val="nil"/>
              <w:bottom w:val="nil"/>
              <w:right w:val="nil"/>
            </w:tcBorders>
            <w:shd w:val="clear" w:color="D9E1F2" w:fill="D9E1F2"/>
            <w:noWrap/>
            <w:vAlign w:val="bottom"/>
            <w:hideMark/>
          </w:tcPr>
          <w:p w14:paraId="41F49310" w14:textId="77777777" w:rsidR="00153816" w:rsidRPr="00EE05AA" w:rsidRDefault="00153816" w:rsidP="006B1E56">
            <w:pPr>
              <w:rPr>
                <w:rFonts w:asciiTheme="majorHAnsi" w:hAnsiTheme="majorHAnsi"/>
                <w:b/>
                <w:bCs/>
              </w:rPr>
            </w:pPr>
            <w:r w:rsidRPr="00EE05AA">
              <w:rPr>
                <w:rFonts w:asciiTheme="majorHAnsi" w:hAnsiTheme="majorHAnsi"/>
                <w:b/>
                <w:bCs/>
              </w:rPr>
              <w:t>95</w:t>
            </w:r>
          </w:p>
        </w:tc>
        <w:tc>
          <w:tcPr>
            <w:tcW w:w="6205" w:type="dxa"/>
            <w:gridSpan w:val="4"/>
            <w:tcBorders>
              <w:top w:val="single" w:sz="4" w:space="0" w:color="8EA9DB"/>
              <w:left w:val="nil"/>
              <w:bottom w:val="nil"/>
              <w:right w:val="nil"/>
            </w:tcBorders>
            <w:shd w:val="clear" w:color="D9E1F2" w:fill="D9E1F2"/>
            <w:noWrap/>
            <w:vAlign w:val="bottom"/>
            <w:hideMark/>
          </w:tcPr>
          <w:p w14:paraId="5EBA9E2F" w14:textId="77777777" w:rsidR="00153816" w:rsidRPr="00EE05AA" w:rsidRDefault="00153816" w:rsidP="006B1E56">
            <w:pPr>
              <w:rPr>
                <w:rFonts w:asciiTheme="majorHAnsi" w:hAnsiTheme="majorHAnsi"/>
                <w:b/>
                <w:bCs/>
              </w:rPr>
            </w:pPr>
            <w:r w:rsidRPr="00EE05AA">
              <w:rPr>
                <w:rFonts w:asciiTheme="majorHAnsi" w:hAnsiTheme="majorHAnsi"/>
                <w:b/>
                <w:bCs/>
              </w:rPr>
              <w:t>97</w:t>
            </w:r>
          </w:p>
        </w:tc>
        <w:tc>
          <w:tcPr>
            <w:tcW w:w="1846" w:type="dxa"/>
            <w:tcBorders>
              <w:top w:val="single" w:sz="4" w:space="0" w:color="8EA9DB"/>
              <w:left w:val="nil"/>
              <w:bottom w:val="nil"/>
              <w:right w:val="nil"/>
            </w:tcBorders>
            <w:shd w:val="clear" w:color="D9E1F2" w:fill="D9E1F2"/>
            <w:noWrap/>
            <w:vAlign w:val="bottom"/>
            <w:hideMark/>
          </w:tcPr>
          <w:p w14:paraId="38536357" w14:textId="77777777" w:rsidR="00153816" w:rsidRPr="00EE05AA" w:rsidRDefault="00153816" w:rsidP="006B1E56">
            <w:pPr>
              <w:jc w:val="right"/>
              <w:rPr>
                <w:rFonts w:asciiTheme="majorHAnsi" w:hAnsiTheme="majorHAnsi"/>
                <w:b/>
                <w:bCs/>
              </w:rPr>
            </w:pPr>
            <w:r w:rsidRPr="00EE05AA">
              <w:rPr>
                <w:rFonts w:asciiTheme="majorHAnsi" w:hAnsiTheme="majorHAnsi"/>
                <w:b/>
                <w:bCs/>
              </w:rPr>
              <w:t>912</w:t>
            </w:r>
          </w:p>
        </w:tc>
        <w:tc>
          <w:tcPr>
            <w:tcW w:w="1818" w:type="dxa"/>
            <w:tcBorders>
              <w:top w:val="nil"/>
              <w:left w:val="nil"/>
              <w:bottom w:val="nil"/>
              <w:right w:val="nil"/>
            </w:tcBorders>
            <w:shd w:val="clear" w:color="auto" w:fill="auto"/>
            <w:noWrap/>
            <w:vAlign w:val="bottom"/>
            <w:hideMark/>
          </w:tcPr>
          <w:p w14:paraId="7216DA84" w14:textId="77777777" w:rsidR="00153816" w:rsidRPr="00EE05AA" w:rsidRDefault="00153816" w:rsidP="006B1E56">
            <w:pPr>
              <w:jc w:val="right"/>
              <w:rPr>
                <w:rFonts w:asciiTheme="majorHAnsi" w:hAnsiTheme="majorHAnsi"/>
                <w:b/>
                <w:bCs/>
              </w:rPr>
            </w:pPr>
          </w:p>
        </w:tc>
      </w:tr>
    </w:tbl>
    <w:p w14:paraId="6C60A458" w14:textId="77777777" w:rsidR="00153816" w:rsidRPr="00EE05AA" w:rsidRDefault="00153816" w:rsidP="00153816">
      <w:pPr>
        <w:rPr>
          <w:rFonts w:asciiTheme="majorHAnsi" w:hAnsiTheme="majorHAnsi"/>
        </w:rPr>
      </w:pPr>
    </w:p>
    <w:p w14:paraId="528DBFF9" w14:textId="77777777" w:rsidR="00153816" w:rsidRPr="00EE05AA" w:rsidRDefault="00153816" w:rsidP="00153816">
      <w:pPr>
        <w:rPr>
          <w:rFonts w:asciiTheme="majorHAnsi" w:hAnsiTheme="majorHAnsi"/>
        </w:rPr>
      </w:pPr>
    </w:p>
    <w:p w14:paraId="230AA4FA" w14:textId="77777777" w:rsidR="00153816" w:rsidRPr="00EE05AA" w:rsidRDefault="00153816" w:rsidP="00153816">
      <w:pPr>
        <w:rPr>
          <w:rFonts w:asciiTheme="majorHAnsi" w:hAnsiTheme="majorHAnsi"/>
        </w:rPr>
      </w:pPr>
    </w:p>
    <w:p w14:paraId="6A67C569" w14:textId="77777777" w:rsidR="00153816" w:rsidRPr="00EE05AA" w:rsidRDefault="00153816" w:rsidP="00153816">
      <w:pPr>
        <w:rPr>
          <w:rFonts w:asciiTheme="majorHAnsi" w:hAnsiTheme="majorHAnsi"/>
        </w:rPr>
      </w:pPr>
    </w:p>
    <w:p w14:paraId="2A0D4EFF" w14:textId="77777777" w:rsidR="00153816" w:rsidRPr="00EE05AA" w:rsidRDefault="00153816" w:rsidP="00153816">
      <w:pPr>
        <w:rPr>
          <w:rFonts w:asciiTheme="majorHAnsi" w:hAnsiTheme="majorHAnsi"/>
        </w:rPr>
      </w:pPr>
      <w:r>
        <w:rPr>
          <w:noProof/>
        </w:rPr>
        <w:lastRenderedPageBreak/>
        <w:drawing>
          <wp:inline distT="0" distB="0" distL="0" distR="0" wp14:anchorId="4FFC089D" wp14:editId="12E347FA">
            <wp:extent cx="5667374" cy="5081833"/>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667374" cy="5081833"/>
                    </a:xfrm>
                    <a:prstGeom prst="rect">
                      <a:avLst/>
                    </a:prstGeom>
                  </pic:spPr>
                </pic:pic>
              </a:graphicData>
            </a:graphic>
          </wp:inline>
        </w:drawing>
      </w:r>
    </w:p>
    <w:p w14:paraId="5B9C5E28" w14:textId="77777777" w:rsidR="00153816" w:rsidRDefault="00153816" w:rsidP="00153816">
      <w:pPr>
        <w:rPr>
          <w:rFonts w:asciiTheme="majorHAnsi" w:hAnsiTheme="majorHAnsi"/>
        </w:rPr>
      </w:pPr>
    </w:p>
    <w:p w14:paraId="18D5165A" w14:textId="77777777" w:rsidR="00153816" w:rsidRPr="00D74B76" w:rsidRDefault="00153816" w:rsidP="00153816">
      <w:pPr>
        <w:rPr>
          <w:rFonts w:asciiTheme="majorHAnsi" w:hAnsiTheme="majorHAnsi"/>
        </w:rPr>
      </w:pPr>
    </w:p>
    <w:p w14:paraId="41C72ACD" w14:textId="77777777" w:rsidR="00153816" w:rsidRPr="00D74B76" w:rsidRDefault="00153816" w:rsidP="00153816">
      <w:pPr>
        <w:rPr>
          <w:rFonts w:asciiTheme="majorHAnsi" w:hAnsiTheme="majorHAnsi"/>
        </w:rPr>
      </w:pPr>
    </w:p>
    <w:p w14:paraId="10C1C57B"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The demographic data (age and ethnicity), taken from the YJB website associated with local youth offending levels are presented in the table below, presented by year and age category, and appear to provide some degree of reassurance than offending levels within all age groups are decreasing, as well as confirming the most common age band for the highest level of offending behaviour being the </w:t>
      </w:r>
      <w:proofErr w:type="gramStart"/>
      <w:r w:rsidRPr="00D74B76">
        <w:rPr>
          <w:rFonts w:asciiTheme="majorHAnsi" w:hAnsiTheme="majorHAnsi"/>
        </w:rPr>
        <w:t>15-17 year olds</w:t>
      </w:r>
      <w:proofErr w:type="gramEnd"/>
      <w:r w:rsidRPr="00D74B76">
        <w:rPr>
          <w:rFonts w:asciiTheme="majorHAnsi" w:hAnsiTheme="majorHAnsi"/>
        </w:rPr>
        <w:t xml:space="preserve">. </w:t>
      </w:r>
    </w:p>
    <w:p w14:paraId="74C1AC57" w14:textId="77777777" w:rsidR="00153816" w:rsidRDefault="00153816" w:rsidP="00153816">
      <w:pPr>
        <w:rPr>
          <w:rFonts w:asciiTheme="majorHAnsi" w:hAnsiTheme="majorHAnsi"/>
        </w:rPr>
      </w:pPr>
    </w:p>
    <w:p w14:paraId="44FD6956" w14:textId="77777777" w:rsidR="00153816" w:rsidRDefault="00153816" w:rsidP="00153816">
      <w:pPr>
        <w:rPr>
          <w:rFonts w:asciiTheme="majorHAnsi" w:hAnsiTheme="majorHAnsi"/>
        </w:rPr>
      </w:pPr>
    </w:p>
    <w:p w14:paraId="48BED917" w14:textId="77777777" w:rsidR="00153816" w:rsidRPr="00EE05AA" w:rsidRDefault="00153816" w:rsidP="00153816">
      <w:pPr>
        <w:rPr>
          <w:rFonts w:asciiTheme="majorHAnsi" w:hAnsiTheme="majorHAnsi"/>
        </w:rPr>
      </w:pPr>
    </w:p>
    <w:p w14:paraId="5C9B20D2" w14:textId="77777777" w:rsidR="00153816" w:rsidRPr="00EE05AA" w:rsidRDefault="00153816" w:rsidP="00153816">
      <w:pPr>
        <w:rPr>
          <w:rFonts w:asciiTheme="majorHAnsi" w:hAnsiTheme="majorHAnsi"/>
        </w:rPr>
      </w:pPr>
    </w:p>
    <w:tbl>
      <w:tblPr>
        <w:tblW w:w="9493" w:type="dxa"/>
        <w:tblLook w:val="04A0" w:firstRow="1" w:lastRow="0" w:firstColumn="1" w:lastColumn="0" w:noHBand="0" w:noVBand="1"/>
      </w:tblPr>
      <w:tblGrid>
        <w:gridCol w:w="1715"/>
        <w:gridCol w:w="1107"/>
        <w:gridCol w:w="1443"/>
        <w:gridCol w:w="2014"/>
        <w:gridCol w:w="2080"/>
        <w:gridCol w:w="1134"/>
      </w:tblGrid>
      <w:tr w:rsidR="00153816" w:rsidRPr="00EE05AA" w14:paraId="5229A78B" w14:textId="77777777" w:rsidTr="0080697E">
        <w:trPr>
          <w:trHeight w:val="320"/>
        </w:trPr>
        <w:tc>
          <w:tcPr>
            <w:tcW w:w="1715" w:type="dxa"/>
            <w:tcBorders>
              <w:top w:val="single" w:sz="4" w:space="0" w:color="000000"/>
              <w:left w:val="single" w:sz="4" w:space="0" w:color="000000"/>
              <w:bottom w:val="single" w:sz="4" w:space="0" w:color="000000"/>
              <w:right w:val="single" w:sz="4" w:space="0" w:color="000000"/>
            </w:tcBorders>
            <w:shd w:val="clear" w:color="C0C0C0" w:fill="C0C0C0"/>
            <w:noWrap/>
            <w:vAlign w:val="bottom"/>
            <w:hideMark/>
          </w:tcPr>
          <w:p w14:paraId="4646ED7C" w14:textId="77777777" w:rsidR="00153816" w:rsidRPr="00EE05AA" w:rsidRDefault="00153816" w:rsidP="006B1E56">
            <w:pPr>
              <w:jc w:val="center"/>
              <w:rPr>
                <w:rFonts w:asciiTheme="majorHAnsi" w:hAnsiTheme="majorHAnsi"/>
                <w:b/>
                <w:bCs/>
              </w:rPr>
            </w:pPr>
            <w:r w:rsidRPr="00EE05AA">
              <w:rPr>
                <w:rFonts w:asciiTheme="majorHAnsi" w:hAnsiTheme="majorHAnsi"/>
                <w:b/>
                <w:bCs/>
              </w:rPr>
              <w:t>Financial_Year</w:t>
            </w:r>
          </w:p>
        </w:tc>
        <w:tc>
          <w:tcPr>
            <w:tcW w:w="1107" w:type="dxa"/>
            <w:tcBorders>
              <w:top w:val="single" w:sz="4" w:space="0" w:color="000000"/>
              <w:left w:val="nil"/>
              <w:bottom w:val="single" w:sz="4" w:space="0" w:color="000000"/>
              <w:right w:val="single" w:sz="4" w:space="0" w:color="000000"/>
            </w:tcBorders>
            <w:shd w:val="clear" w:color="C0C0C0" w:fill="C0C0C0"/>
            <w:noWrap/>
            <w:vAlign w:val="bottom"/>
            <w:hideMark/>
          </w:tcPr>
          <w:p w14:paraId="2A1175AE" w14:textId="77777777" w:rsidR="00153816" w:rsidRPr="00EE05AA" w:rsidRDefault="00153816" w:rsidP="006B1E56">
            <w:pPr>
              <w:jc w:val="center"/>
              <w:rPr>
                <w:rFonts w:asciiTheme="majorHAnsi" w:hAnsiTheme="majorHAnsi"/>
                <w:b/>
                <w:bCs/>
              </w:rPr>
            </w:pPr>
            <w:r w:rsidRPr="00EE05AA">
              <w:rPr>
                <w:rFonts w:asciiTheme="majorHAnsi" w:hAnsiTheme="majorHAnsi"/>
                <w:b/>
                <w:bCs/>
              </w:rPr>
              <w:t>YOT</w:t>
            </w:r>
          </w:p>
        </w:tc>
        <w:tc>
          <w:tcPr>
            <w:tcW w:w="1443" w:type="dxa"/>
            <w:tcBorders>
              <w:top w:val="single" w:sz="4" w:space="0" w:color="000000"/>
              <w:left w:val="nil"/>
              <w:bottom w:val="single" w:sz="4" w:space="0" w:color="000000"/>
              <w:right w:val="single" w:sz="4" w:space="0" w:color="000000"/>
            </w:tcBorders>
            <w:shd w:val="clear" w:color="C0C0C0" w:fill="C0C0C0"/>
            <w:noWrap/>
            <w:vAlign w:val="bottom"/>
            <w:hideMark/>
          </w:tcPr>
          <w:p w14:paraId="7ADC608F" w14:textId="77777777" w:rsidR="00153816" w:rsidRPr="00EE05AA" w:rsidRDefault="00153816" w:rsidP="006B1E56">
            <w:pPr>
              <w:jc w:val="center"/>
              <w:rPr>
                <w:rFonts w:asciiTheme="majorHAnsi" w:hAnsiTheme="majorHAnsi"/>
                <w:b/>
                <w:bCs/>
              </w:rPr>
            </w:pPr>
            <w:r w:rsidRPr="00EE05AA">
              <w:rPr>
                <w:rFonts w:asciiTheme="majorHAnsi" w:hAnsiTheme="majorHAnsi"/>
                <w:b/>
                <w:bCs/>
              </w:rPr>
              <w:t>Age_Group</w:t>
            </w:r>
          </w:p>
        </w:tc>
        <w:tc>
          <w:tcPr>
            <w:tcW w:w="2014" w:type="dxa"/>
            <w:tcBorders>
              <w:top w:val="single" w:sz="4" w:space="0" w:color="000000"/>
              <w:left w:val="nil"/>
              <w:bottom w:val="single" w:sz="4" w:space="0" w:color="000000"/>
              <w:right w:val="single" w:sz="4" w:space="0" w:color="000000"/>
            </w:tcBorders>
            <w:shd w:val="clear" w:color="C0C0C0" w:fill="C0C0C0"/>
            <w:noWrap/>
            <w:vAlign w:val="bottom"/>
            <w:hideMark/>
          </w:tcPr>
          <w:p w14:paraId="737151AC" w14:textId="77777777" w:rsidR="00153816" w:rsidRPr="00EE05AA" w:rsidRDefault="00153816" w:rsidP="006B1E56">
            <w:pPr>
              <w:jc w:val="center"/>
              <w:rPr>
                <w:rFonts w:asciiTheme="majorHAnsi" w:hAnsiTheme="majorHAnsi"/>
                <w:b/>
                <w:bCs/>
              </w:rPr>
            </w:pPr>
            <w:r w:rsidRPr="00EE05AA">
              <w:rPr>
                <w:rFonts w:asciiTheme="majorHAnsi" w:hAnsiTheme="majorHAnsi"/>
                <w:b/>
                <w:bCs/>
              </w:rPr>
              <w:t>Ethnicity_Group</w:t>
            </w:r>
          </w:p>
        </w:tc>
        <w:tc>
          <w:tcPr>
            <w:tcW w:w="2080" w:type="dxa"/>
            <w:tcBorders>
              <w:top w:val="single" w:sz="4" w:space="0" w:color="000000"/>
              <w:left w:val="nil"/>
              <w:bottom w:val="single" w:sz="4" w:space="0" w:color="000000"/>
              <w:right w:val="single" w:sz="4" w:space="0" w:color="000000"/>
            </w:tcBorders>
            <w:shd w:val="clear" w:color="C0C0C0" w:fill="C0C0C0"/>
            <w:noWrap/>
            <w:vAlign w:val="bottom"/>
            <w:hideMark/>
          </w:tcPr>
          <w:p w14:paraId="5D5719E9" w14:textId="77777777" w:rsidR="00153816" w:rsidRPr="00EE05AA" w:rsidRDefault="00153816" w:rsidP="006B1E56">
            <w:pPr>
              <w:jc w:val="center"/>
              <w:rPr>
                <w:rFonts w:asciiTheme="majorHAnsi" w:hAnsiTheme="majorHAnsi"/>
                <w:b/>
                <w:bCs/>
              </w:rPr>
            </w:pPr>
            <w:r w:rsidRPr="00EE05AA">
              <w:rPr>
                <w:rFonts w:asciiTheme="majorHAnsi" w:hAnsiTheme="majorHAnsi"/>
                <w:b/>
                <w:bCs/>
              </w:rPr>
              <w:t>Number_Children</w:t>
            </w:r>
          </w:p>
        </w:tc>
        <w:tc>
          <w:tcPr>
            <w:tcW w:w="1134" w:type="dxa"/>
            <w:tcBorders>
              <w:top w:val="nil"/>
              <w:left w:val="nil"/>
              <w:bottom w:val="nil"/>
              <w:right w:val="single" w:sz="4" w:space="0" w:color="000000"/>
            </w:tcBorders>
            <w:shd w:val="clear" w:color="C0C0C0" w:fill="C0C0C0"/>
            <w:noWrap/>
            <w:vAlign w:val="bottom"/>
            <w:hideMark/>
          </w:tcPr>
          <w:p w14:paraId="7189E52B" w14:textId="77777777" w:rsidR="00153816" w:rsidRPr="00EE05AA" w:rsidRDefault="00153816" w:rsidP="006B1E56">
            <w:pPr>
              <w:jc w:val="center"/>
              <w:rPr>
                <w:rFonts w:asciiTheme="majorHAnsi" w:hAnsiTheme="majorHAnsi"/>
                <w:b/>
                <w:bCs/>
              </w:rPr>
            </w:pPr>
            <w:r w:rsidRPr="00EE05AA">
              <w:rPr>
                <w:rFonts w:asciiTheme="majorHAnsi" w:hAnsiTheme="majorHAnsi"/>
                <w:b/>
                <w:bCs/>
              </w:rPr>
              <w:t xml:space="preserve">Total in age group per year </w:t>
            </w:r>
          </w:p>
        </w:tc>
      </w:tr>
      <w:tr w:rsidR="00153816" w:rsidRPr="00EE05AA" w14:paraId="141EB42F" w14:textId="77777777" w:rsidTr="0080697E">
        <w:trPr>
          <w:trHeight w:val="540"/>
        </w:trPr>
        <w:tc>
          <w:tcPr>
            <w:tcW w:w="1715" w:type="dxa"/>
            <w:tcBorders>
              <w:top w:val="single" w:sz="4" w:space="0" w:color="C0C0C0"/>
              <w:left w:val="single" w:sz="4" w:space="0" w:color="C0C0C0"/>
              <w:bottom w:val="single" w:sz="4" w:space="0" w:color="C0C0C0"/>
              <w:right w:val="single" w:sz="4" w:space="0" w:color="C0C0C0"/>
            </w:tcBorders>
            <w:shd w:val="clear" w:color="000000" w:fill="E2EFDA"/>
            <w:vAlign w:val="bottom"/>
            <w:hideMark/>
          </w:tcPr>
          <w:p w14:paraId="230D6254"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single" w:sz="4" w:space="0" w:color="C0C0C0"/>
              <w:left w:val="nil"/>
              <w:bottom w:val="single" w:sz="4" w:space="0" w:color="C0C0C0"/>
              <w:right w:val="single" w:sz="4" w:space="0" w:color="C0C0C0"/>
            </w:tcBorders>
            <w:shd w:val="clear" w:color="000000" w:fill="E2EFDA"/>
            <w:vAlign w:val="bottom"/>
            <w:hideMark/>
          </w:tcPr>
          <w:p w14:paraId="5381FA65"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single" w:sz="4" w:space="0" w:color="C0C0C0"/>
              <w:left w:val="nil"/>
              <w:bottom w:val="single" w:sz="4" w:space="0" w:color="C0C0C0"/>
              <w:right w:val="single" w:sz="4" w:space="0" w:color="C0C0C0"/>
            </w:tcBorders>
            <w:shd w:val="clear" w:color="000000" w:fill="E2EFDA"/>
            <w:vAlign w:val="bottom"/>
            <w:hideMark/>
          </w:tcPr>
          <w:p w14:paraId="3C6FD247"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single" w:sz="4" w:space="0" w:color="C0C0C0"/>
              <w:left w:val="nil"/>
              <w:bottom w:val="single" w:sz="4" w:space="0" w:color="C0C0C0"/>
              <w:right w:val="single" w:sz="4" w:space="0" w:color="C0C0C0"/>
            </w:tcBorders>
            <w:shd w:val="clear" w:color="000000" w:fill="E2EFDA"/>
            <w:vAlign w:val="bottom"/>
            <w:hideMark/>
          </w:tcPr>
          <w:p w14:paraId="28E2C29D"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single" w:sz="4" w:space="0" w:color="C0C0C0"/>
              <w:left w:val="nil"/>
              <w:bottom w:val="single" w:sz="4" w:space="0" w:color="C0C0C0"/>
              <w:right w:val="single" w:sz="4" w:space="0" w:color="C0C0C0"/>
            </w:tcBorders>
            <w:shd w:val="clear" w:color="000000" w:fill="E2EFDA"/>
            <w:vAlign w:val="bottom"/>
            <w:hideMark/>
          </w:tcPr>
          <w:p w14:paraId="1E50CC31"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E2EFDA"/>
            <w:noWrap/>
            <w:vAlign w:val="bottom"/>
            <w:hideMark/>
          </w:tcPr>
          <w:p w14:paraId="1CB62E66"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F867E3C"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78F31A3B"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21423B40"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04E7DCCC"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E2EFDA"/>
            <w:vAlign w:val="bottom"/>
            <w:hideMark/>
          </w:tcPr>
          <w:p w14:paraId="4E0E29B8"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E2EFDA"/>
            <w:vAlign w:val="bottom"/>
            <w:hideMark/>
          </w:tcPr>
          <w:p w14:paraId="106346BF"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E2EFDA"/>
            <w:noWrap/>
            <w:vAlign w:val="bottom"/>
            <w:hideMark/>
          </w:tcPr>
          <w:p w14:paraId="4B9DCB21"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0154079B"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65A5CE6A"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24EC93D9"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22F0AF6B"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E2EFDA"/>
            <w:vAlign w:val="bottom"/>
            <w:hideMark/>
          </w:tcPr>
          <w:p w14:paraId="06866F92"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single" w:sz="4" w:space="0" w:color="C0C0C0"/>
              <w:right w:val="single" w:sz="4" w:space="0" w:color="C0C0C0"/>
            </w:tcBorders>
            <w:shd w:val="clear" w:color="000000" w:fill="E2EFDA"/>
            <w:vAlign w:val="bottom"/>
            <w:hideMark/>
          </w:tcPr>
          <w:p w14:paraId="6E72E364" w14:textId="77777777" w:rsidR="00153816" w:rsidRPr="00EE05AA" w:rsidRDefault="00153816" w:rsidP="006B1E56">
            <w:pPr>
              <w:jc w:val="right"/>
              <w:rPr>
                <w:rFonts w:asciiTheme="majorHAnsi" w:hAnsiTheme="majorHAnsi"/>
              </w:rPr>
            </w:pPr>
            <w:r w:rsidRPr="00EE05AA">
              <w:rPr>
                <w:rFonts w:asciiTheme="majorHAnsi" w:hAnsiTheme="majorHAnsi"/>
              </w:rPr>
              <w:t>4</w:t>
            </w:r>
          </w:p>
        </w:tc>
        <w:tc>
          <w:tcPr>
            <w:tcW w:w="1134" w:type="dxa"/>
            <w:tcBorders>
              <w:top w:val="nil"/>
              <w:left w:val="nil"/>
              <w:bottom w:val="nil"/>
              <w:right w:val="nil"/>
            </w:tcBorders>
            <w:shd w:val="clear" w:color="000000" w:fill="E2EFDA"/>
            <w:noWrap/>
            <w:vAlign w:val="bottom"/>
            <w:hideMark/>
          </w:tcPr>
          <w:p w14:paraId="488A6BBD"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16C6D6FE"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0FB485E6"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1B819210"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54CD360F"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E2EFDA"/>
            <w:vAlign w:val="bottom"/>
            <w:hideMark/>
          </w:tcPr>
          <w:p w14:paraId="5F9FAF28"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E2EFDA"/>
            <w:vAlign w:val="bottom"/>
            <w:hideMark/>
          </w:tcPr>
          <w:p w14:paraId="0C0F81A1" w14:textId="77777777" w:rsidR="00153816" w:rsidRPr="00EE05AA" w:rsidRDefault="00153816" w:rsidP="006B1E56">
            <w:pPr>
              <w:jc w:val="right"/>
              <w:rPr>
                <w:rFonts w:asciiTheme="majorHAnsi" w:hAnsiTheme="majorHAnsi"/>
              </w:rPr>
            </w:pPr>
            <w:r w:rsidRPr="00EE05AA">
              <w:rPr>
                <w:rFonts w:asciiTheme="majorHAnsi" w:hAnsiTheme="majorHAnsi"/>
              </w:rPr>
              <w:t>11</w:t>
            </w:r>
          </w:p>
        </w:tc>
        <w:tc>
          <w:tcPr>
            <w:tcW w:w="1134" w:type="dxa"/>
            <w:tcBorders>
              <w:top w:val="nil"/>
              <w:left w:val="nil"/>
              <w:bottom w:val="nil"/>
              <w:right w:val="nil"/>
            </w:tcBorders>
            <w:shd w:val="clear" w:color="000000" w:fill="E2EFDA"/>
            <w:noWrap/>
            <w:vAlign w:val="bottom"/>
            <w:hideMark/>
          </w:tcPr>
          <w:p w14:paraId="49ECA6C6" w14:textId="77777777" w:rsidR="00153816" w:rsidRPr="00EE05AA" w:rsidRDefault="00153816" w:rsidP="006B1E56">
            <w:pPr>
              <w:jc w:val="right"/>
              <w:rPr>
                <w:rFonts w:asciiTheme="majorHAnsi" w:hAnsiTheme="majorHAnsi"/>
              </w:rPr>
            </w:pPr>
            <w:r w:rsidRPr="00EE05AA">
              <w:rPr>
                <w:rFonts w:asciiTheme="majorHAnsi" w:hAnsiTheme="majorHAnsi"/>
              </w:rPr>
              <w:t>19</w:t>
            </w:r>
          </w:p>
        </w:tc>
      </w:tr>
      <w:tr w:rsidR="00153816" w:rsidRPr="00EE05AA" w14:paraId="7B48370A"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DEBF7"/>
            <w:vAlign w:val="bottom"/>
            <w:hideMark/>
          </w:tcPr>
          <w:p w14:paraId="653298AD"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DEBF7"/>
            <w:vAlign w:val="bottom"/>
            <w:hideMark/>
          </w:tcPr>
          <w:p w14:paraId="61180CD9"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DEBF7"/>
            <w:vAlign w:val="bottom"/>
            <w:hideMark/>
          </w:tcPr>
          <w:p w14:paraId="72B1BF2A"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DDEBF7"/>
            <w:vAlign w:val="bottom"/>
            <w:hideMark/>
          </w:tcPr>
          <w:p w14:paraId="27FFA266"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single" w:sz="4" w:space="0" w:color="C0C0C0"/>
              <w:right w:val="single" w:sz="4" w:space="0" w:color="C0C0C0"/>
            </w:tcBorders>
            <w:shd w:val="clear" w:color="000000" w:fill="DDEBF7"/>
            <w:vAlign w:val="bottom"/>
            <w:hideMark/>
          </w:tcPr>
          <w:p w14:paraId="1505EB83"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DDEBF7"/>
            <w:noWrap/>
            <w:vAlign w:val="bottom"/>
            <w:hideMark/>
          </w:tcPr>
          <w:p w14:paraId="1F28CCDF"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07987A33"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DEBF7"/>
            <w:vAlign w:val="bottom"/>
            <w:hideMark/>
          </w:tcPr>
          <w:p w14:paraId="1C746509"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DEBF7"/>
            <w:vAlign w:val="bottom"/>
            <w:hideMark/>
          </w:tcPr>
          <w:p w14:paraId="3854BB0C"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DEBF7"/>
            <w:vAlign w:val="bottom"/>
            <w:hideMark/>
          </w:tcPr>
          <w:p w14:paraId="25989EB7"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DDEBF7"/>
            <w:vAlign w:val="bottom"/>
            <w:hideMark/>
          </w:tcPr>
          <w:p w14:paraId="6B0DA6C6"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DDEBF7"/>
            <w:vAlign w:val="bottom"/>
            <w:hideMark/>
          </w:tcPr>
          <w:p w14:paraId="05C3E109"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DDEBF7"/>
            <w:noWrap/>
            <w:vAlign w:val="bottom"/>
            <w:hideMark/>
          </w:tcPr>
          <w:p w14:paraId="469CC759"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9ABF3E2"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DEBF7"/>
            <w:vAlign w:val="bottom"/>
            <w:hideMark/>
          </w:tcPr>
          <w:p w14:paraId="7F94BA55"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DEBF7"/>
            <w:vAlign w:val="bottom"/>
            <w:hideMark/>
          </w:tcPr>
          <w:p w14:paraId="07BD5DD9"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DEBF7"/>
            <w:vAlign w:val="bottom"/>
            <w:hideMark/>
          </w:tcPr>
          <w:p w14:paraId="06C5F0D4"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DDEBF7"/>
            <w:vAlign w:val="bottom"/>
            <w:hideMark/>
          </w:tcPr>
          <w:p w14:paraId="72B4A1D2"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DDEBF7"/>
            <w:vAlign w:val="bottom"/>
            <w:hideMark/>
          </w:tcPr>
          <w:p w14:paraId="16B0E6F5" w14:textId="77777777" w:rsidR="00153816" w:rsidRPr="00EE05AA" w:rsidRDefault="00153816" w:rsidP="006B1E56">
            <w:pPr>
              <w:jc w:val="right"/>
              <w:rPr>
                <w:rFonts w:asciiTheme="majorHAnsi" w:hAnsiTheme="majorHAnsi"/>
              </w:rPr>
            </w:pPr>
            <w:r w:rsidRPr="00EE05AA">
              <w:rPr>
                <w:rFonts w:asciiTheme="majorHAnsi" w:hAnsiTheme="majorHAnsi"/>
              </w:rPr>
              <w:t>12</w:t>
            </w:r>
          </w:p>
        </w:tc>
        <w:tc>
          <w:tcPr>
            <w:tcW w:w="1134" w:type="dxa"/>
            <w:tcBorders>
              <w:top w:val="nil"/>
              <w:left w:val="nil"/>
              <w:bottom w:val="nil"/>
              <w:right w:val="nil"/>
            </w:tcBorders>
            <w:shd w:val="clear" w:color="000000" w:fill="DDEBF7"/>
            <w:noWrap/>
            <w:vAlign w:val="bottom"/>
            <w:hideMark/>
          </w:tcPr>
          <w:p w14:paraId="1B990D9D" w14:textId="77777777" w:rsidR="00153816" w:rsidRPr="00EE05AA" w:rsidRDefault="00153816" w:rsidP="006B1E56">
            <w:pPr>
              <w:jc w:val="right"/>
              <w:rPr>
                <w:rFonts w:asciiTheme="majorHAnsi" w:hAnsiTheme="majorHAnsi"/>
              </w:rPr>
            </w:pPr>
            <w:r w:rsidRPr="00EE05AA">
              <w:rPr>
                <w:rFonts w:asciiTheme="majorHAnsi" w:hAnsiTheme="majorHAnsi"/>
              </w:rPr>
              <w:t>14</w:t>
            </w:r>
          </w:p>
        </w:tc>
      </w:tr>
      <w:tr w:rsidR="00153816" w:rsidRPr="00EE05AA" w14:paraId="78FEF4C4"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34B8199E"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15BB872F"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563DE62C"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FFF2CC"/>
            <w:vAlign w:val="bottom"/>
            <w:hideMark/>
          </w:tcPr>
          <w:p w14:paraId="1FB4067F"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nil"/>
              <w:left w:val="nil"/>
              <w:bottom w:val="single" w:sz="4" w:space="0" w:color="C0C0C0"/>
              <w:right w:val="single" w:sz="4" w:space="0" w:color="C0C0C0"/>
            </w:tcBorders>
            <w:shd w:val="clear" w:color="000000" w:fill="FFF2CC"/>
            <w:vAlign w:val="bottom"/>
            <w:hideMark/>
          </w:tcPr>
          <w:p w14:paraId="5869E7D0"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FFF2CC"/>
            <w:noWrap/>
            <w:vAlign w:val="bottom"/>
            <w:hideMark/>
          </w:tcPr>
          <w:p w14:paraId="71EF00CF"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7E975FC"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6800EEDF"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06D8E1F8"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49618B5C"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FFF2CC"/>
            <w:vAlign w:val="bottom"/>
            <w:hideMark/>
          </w:tcPr>
          <w:p w14:paraId="3E2C1EF7"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single" w:sz="4" w:space="0" w:color="C0C0C0"/>
              <w:right w:val="single" w:sz="4" w:space="0" w:color="C0C0C0"/>
            </w:tcBorders>
            <w:shd w:val="clear" w:color="000000" w:fill="FFF2CC"/>
            <w:vAlign w:val="bottom"/>
            <w:hideMark/>
          </w:tcPr>
          <w:p w14:paraId="3DACBBB4" w14:textId="77777777" w:rsidR="00153816" w:rsidRPr="00EE05AA" w:rsidRDefault="00153816" w:rsidP="006B1E56">
            <w:pPr>
              <w:jc w:val="right"/>
              <w:rPr>
                <w:rFonts w:asciiTheme="majorHAnsi" w:hAnsiTheme="majorHAnsi"/>
              </w:rPr>
            </w:pPr>
            <w:r w:rsidRPr="00EE05AA">
              <w:rPr>
                <w:rFonts w:asciiTheme="majorHAnsi" w:hAnsiTheme="majorHAnsi"/>
              </w:rPr>
              <w:t>3</w:t>
            </w:r>
          </w:p>
        </w:tc>
        <w:tc>
          <w:tcPr>
            <w:tcW w:w="1134" w:type="dxa"/>
            <w:tcBorders>
              <w:top w:val="nil"/>
              <w:left w:val="nil"/>
              <w:bottom w:val="nil"/>
              <w:right w:val="nil"/>
            </w:tcBorders>
            <w:shd w:val="clear" w:color="000000" w:fill="FFF2CC"/>
            <w:noWrap/>
            <w:vAlign w:val="bottom"/>
            <w:hideMark/>
          </w:tcPr>
          <w:p w14:paraId="26A9B74B"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4137A50C"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3260382A"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30576126"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2336C9FF"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FFF2CC"/>
            <w:vAlign w:val="bottom"/>
            <w:hideMark/>
          </w:tcPr>
          <w:p w14:paraId="07EFF14A"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FFF2CC"/>
            <w:vAlign w:val="bottom"/>
            <w:hideMark/>
          </w:tcPr>
          <w:p w14:paraId="1B085976" w14:textId="77777777" w:rsidR="00153816" w:rsidRPr="00EE05AA" w:rsidRDefault="00153816" w:rsidP="006B1E56">
            <w:pPr>
              <w:jc w:val="right"/>
              <w:rPr>
                <w:rFonts w:asciiTheme="majorHAnsi" w:hAnsiTheme="majorHAnsi"/>
              </w:rPr>
            </w:pPr>
            <w:r w:rsidRPr="00EE05AA">
              <w:rPr>
                <w:rFonts w:asciiTheme="majorHAnsi" w:hAnsiTheme="majorHAnsi"/>
              </w:rPr>
              <w:t>14</w:t>
            </w:r>
          </w:p>
        </w:tc>
        <w:tc>
          <w:tcPr>
            <w:tcW w:w="1134" w:type="dxa"/>
            <w:tcBorders>
              <w:top w:val="nil"/>
              <w:left w:val="nil"/>
              <w:bottom w:val="nil"/>
              <w:right w:val="nil"/>
            </w:tcBorders>
            <w:shd w:val="clear" w:color="000000" w:fill="FFF2CC"/>
            <w:noWrap/>
            <w:vAlign w:val="bottom"/>
            <w:hideMark/>
          </w:tcPr>
          <w:p w14:paraId="2A5CB279" w14:textId="77777777" w:rsidR="00153816" w:rsidRPr="00EE05AA" w:rsidRDefault="00153816" w:rsidP="006B1E56">
            <w:pPr>
              <w:jc w:val="right"/>
              <w:rPr>
                <w:rFonts w:asciiTheme="majorHAnsi" w:hAnsiTheme="majorHAnsi"/>
              </w:rPr>
            </w:pPr>
            <w:r w:rsidRPr="00EE05AA">
              <w:rPr>
                <w:rFonts w:asciiTheme="majorHAnsi" w:hAnsiTheme="majorHAnsi"/>
              </w:rPr>
              <w:t>18</w:t>
            </w:r>
          </w:p>
        </w:tc>
      </w:tr>
      <w:tr w:rsidR="00153816" w:rsidRPr="00EE05AA" w14:paraId="37DD64EB"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CE4D6"/>
            <w:vAlign w:val="bottom"/>
            <w:hideMark/>
          </w:tcPr>
          <w:p w14:paraId="0EC39614"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single" w:sz="4" w:space="0" w:color="C0C0C0"/>
              <w:right w:val="single" w:sz="4" w:space="0" w:color="C0C0C0"/>
            </w:tcBorders>
            <w:shd w:val="clear" w:color="000000" w:fill="FCE4D6"/>
            <w:vAlign w:val="bottom"/>
            <w:hideMark/>
          </w:tcPr>
          <w:p w14:paraId="00613325"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CE4D6"/>
            <w:vAlign w:val="bottom"/>
            <w:hideMark/>
          </w:tcPr>
          <w:p w14:paraId="2BF3B68F"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FCE4D6"/>
            <w:vAlign w:val="bottom"/>
            <w:hideMark/>
          </w:tcPr>
          <w:p w14:paraId="3FAF548E"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single" w:sz="4" w:space="0" w:color="C0C0C0"/>
              <w:right w:val="single" w:sz="4" w:space="0" w:color="C0C0C0"/>
            </w:tcBorders>
            <w:shd w:val="clear" w:color="000000" w:fill="FCE4D6"/>
            <w:vAlign w:val="bottom"/>
            <w:hideMark/>
          </w:tcPr>
          <w:p w14:paraId="444BB430"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FCE4D6"/>
            <w:noWrap/>
            <w:vAlign w:val="bottom"/>
            <w:hideMark/>
          </w:tcPr>
          <w:p w14:paraId="274C5ECB"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8670056"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CE4D6"/>
            <w:vAlign w:val="bottom"/>
            <w:hideMark/>
          </w:tcPr>
          <w:p w14:paraId="437556AD" w14:textId="77777777" w:rsidR="00153816" w:rsidRPr="00EE05AA" w:rsidRDefault="00153816" w:rsidP="006B1E56">
            <w:pPr>
              <w:rPr>
                <w:rFonts w:asciiTheme="majorHAnsi" w:hAnsiTheme="majorHAnsi"/>
              </w:rPr>
            </w:pPr>
            <w:r w:rsidRPr="00EE05AA">
              <w:rPr>
                <w:rFonts w:asciiTheme="majorHAnsi" w:hAnsiTheme="majorHAnsi"/>
              </w:rPr>
              <w:lastRenderedPageBreak/>
              <w:t>2016-17</w:t>
            </w:r>
          </w:p>
        </w:tc>
        <w:tc>
          <w:tcPr>
            <w:tcW w:w="1107" w:type="dxa"/>
            <w:tcBorders>
              <w:top w:val="nil"/>
              <w:left w:val="nil"/>
              <w:bottom w:val="single" w:sz="4" w:space="0" w:color="C0C0C0"/>
              <w:right w:val="single" w:sz="4" w:space="0" w:color="C0C0C0"/>
            </w:tcBorders>
            <w:shd w:val="clear" w:color="000000" w:fill="FCE4D6"/>
            <w:vAlign w:val="bottom"/>
            <w:hideMark/>
          </w:tcPr>
          <w:p w14:paraId="078AF362"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CE4D6"/>
            <w:vAlign w:val="bottom"/>
            <w:hideMark/>
          </w:tcPr>
          <w:p w14:paraId="78A7A37B"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FCE4D6"/>
            <w:vAlign w:val="bottom"/>
            <w:hideMark/>
          </w:tcPr>
          <w:p w14:paraId="52379E51"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single" w:sz="4" w:space="0" w:color="C0C0C0"/>
              <w:right w:val="single" w:sz="4" w:space="0" w:color="C0C0C0"/>
            </w:tcBorders>
            <w:shd w:val="clear" w:color="000000" w:fill="FCE4D6"/>
            <w:vAlign w:val="bottom"/>
            <w:hideMark/>
          </w:tcPr>
          <w:p w14:paraId="3AC17459"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FCE4D6"/>
            <w:noWrap/>
            <w:vAlign w:val="bottom"/>
            <w:hideMark/>
          </w:tcPr>
          <w:p w14:paraId="2A995BE4"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0AE7785"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CE4D6"/>
            <w:vAlign w:val="bottom"/>
            <w:hideMark/>
          </w:tcPr>
          <w:p w14:paraId="0284BA2A"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single" w:sz="4" w:space="0" w:color="C0C0C0"/>
              <w:right w:val="single" w:sz="4" w:space="0" w:color="C0C0C0"/>
            </w:tcBorders>
            <w:shd w:val="clear" w:color="000000" w:fill="FCE4D6"/>
            <w:vAlign w:val="bottom"/>
            <w:hideMark/>
          </w:tcPr>
          <w:p w14:paraId="38E68558"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CE4D6"/>
            <w:vAlign w:val="bottom"/>
            <w:hideMark/>
          </w:tcPr>
          <w:p w14:paraId="7E9661A0"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FCE4D6"/>
            <w:vAlign w:val="bottom"/>
            <w:hideMark/>
          </w:tcPr>
          <w:p w14:paraId="6A2C341A"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FCE4D6"/>
            <w:vAlign w:val="bottom"/>
            <w:hideMark/>
          </w:tcPr>
          <w:p w14:paraId="3CD7C8C0" w14:textId="77777777" w:rsidR="00153816" w:rsidRPr="00EE05AA" w:rsidRDefault="00153816" w:rsidP="006B1E56">
            <w:pPr>
              <w:jc w:val="right"/>
              <w:rPr>
                <w:rFonts w:asciiTheme="majorHAnsi" w:hAnsiTheme="majorHAnsi"/>
              </w:rPr>
            </w:pPr>
            <w:r w:rsidRPr="00EE05AA">
              <w:rPr>
                <w:rFonts w:asciiTheme="majorHAnsi" w:hAnsiTheme="majorHAnsi"/>
              </w:rPr>
              <w:t>10</w:t>
            </w:r>
          </w:p>
        </w:tc>
        <w:tc>
          <w:tcPr>
            <w:tcW w:w="1134" w:type="dxa"/>
            <w:tcBorders>
              <w:top w:val="nil"/>
              <w:left w:val="nil"/>
              <w:bottom w:val="nil"/>
              <w:right w:val="nil"/>
            </w:tcBorders>
            <w:shd w:val="clear" w:color="000000" w:fill="FCE4D6"/>
            <w:noWrap/>
            <w:vAlign w:val="bottom"/>
            <w:hideMark/>
          </w:tcPr>
          <w:p w14:paraId="3D3D3887" w14:textId="77777777" w:rsidR="00153816" w:rsidRPr="00EE05AA" w:rsidRDefault="00153816" w:rsidP="006B1E56">
            <w:pPr>
              <w:jc w:val="right"/>
              <w:rPr>
                <w:rFonts w:asciiTheme="majorHAnsi" w:hAnsiTheme="majorHAnsi"/>
              </w:rPr>
            </w:pPr>
            <w:r w:rsidRPr="00EE05AA">
              <w:rPr>
                <w:rFonts w:asciiTheme="majorHAnsi" w:hAnsiTheme="majorHAnsi"/>
              </w:rPr>
              <w:t>13</w:t>
            </w:r>
          </w:p>
        </w:tc>
      </w:tr>
      <w:tr w:rsidR="00153816" w:rsidRPr="00EE05AA" w14:paraId="14B8702E" w14:textId="77777777" w:rsidTr="0080697E">
        <w:trPr>
          <w:trHeight w:val="320"/>
        </w:trPr>
        <w:tc>
          <w:tcPr>
            <w:tcW w:w="1715" w:type="dxa"/>
            <w:tcBorders>
              <w:top w:val="nil"/>
              <w:left w:val="single" w:sz="4" w:space="0" w:color="C0C0C0"/>
              <w:bottom w:val="single" w:sz="4" w:space="0" w:color="C0C0C0"/>
              <w:right w:val="single" w:sz="4" w:space="0" w:color="C0C0C0"/>
            </w:tcBorders>
            <w:shd w:val="clear" w:color="000000" w:fill="D0CECE"/>
            <w:noWrap/>
            <w:vAlign w:val="bottom"/>
            <w:hideMark/>
          </w:tcPr>
          <w:p w14:paraId="702C1968" w14:textId="77777777" w:rsidR="00153816" w:rsidRPr="00EE05AA" w:rsidRDefault="00153816" w:rsidP="006B1E56">
            <w:pPr>
              <w:rPr>
                <w:rFonts w:asciiTheme="majorHAnsi" w:hAnsiTheme="majorHAnsi"/>
              </w:rPr>
            </w:pPr>
            <w:r w:rsidRPr="00EE05AA">
              <w:rPr>
                <w:rFonts w:asciiTheme="majorHAnsi" w:hAnsiTheme="majorHAnsi"/>
              </w:rPr>
              <w:t>2017-18</w:t>
            </w:r>
          </w:p>
        </w:tc>
        <w:tc>
          <w:tcPr>
            <w:tcW w:w="1107" w:type="dxa"/>
            <w:tcBorders>
              <w:top w:val="nil"/>
              <w:left w:val="nil"/>
              <w:bottom w:val="single" w:sz="4" w:space="0" w:color="C0C0C0"/>
              <w:right w:val="single" w:sz="4" w:space="0" w:color="C0C0C0"/>
            </w:tcBorders>
            <w:shd w:val="clear" w:color="000000" w:fill="D0CECE"/>
            <w:noWrap/>
            <w:vAlign w:val="bottom"/>
            <w:hideMark/>
          </w:tcPr>
          <w:p w14:paraId="66D7A0CB"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0CECE"/>
            <w:noWrap/>
            <w:vAlign w:val="bottom"/>
            <w:hideMark/>
          </w:tcPr>
          <w:p w14:paraId="794068E1"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D0CECE"/>
            <w:noWrap/>
            <w:vAlign w:val="bottom"/>
            <w:hideMark/>
          </w:tcPr>
          <w:p w14:paraId="37047779"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D0CECE"/>
            <w:noWrap/>
            <w:vAlign w:val="bottom"/>
            <w:hideMark/>
          </w:tcPr>
          <w:p w14:paraId="416840FD"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D0CECE"/>
            <w:noWrap/>
            <w:vAlign w:val="bottom"/>
            <w:hideMark/>
          </w:tcPr>
          <w:p w14:paraId="5791F031"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F970530" w14:textId="77777777" w:rsidTr="0080697E">
        <w:trPr>
          <w:trHeight w:val="320"/>
        </w:trPr>
        <w:tc>
          <w:tcPr>
            <w:tcW w:w="1715" w:type="dxa"/>
            <w:tcBorders>
              <w:top w:val="nil"/>
              <w:left w:val="single" w:sz="4" w:space="0" w:color="C0C0C0"/>
              <w:bottom w:val="single" w:sz="4" w:space="0" w:color="C0C0C0"/>
              <w:right w:val="single" w:sz="4" w:space="0" w:color="C0C0C0"/>
            </w:tcBorders>
            <w:shd w:val="clear" w:color="000000" w:fill="D0CECE"/>
            <w:noWrap/>
            <w:vAlign w:val="bottom"/>
            <w:hideMark/>
          </w:tcPr>
          <w:p w14:paraId="02B4492A" w14:textId="77777777" w:rsidR="00153816" w:rsidRPr="00EE05AA" w:rsidRDefault="00153816" w:rsidP="006B1E56">
            <w:pPr>
              <w:rPr>
                <w:rFonts w:asciiTheme="majorHAnsi" w:hAnsiTheme="majorHAnsi"/>
              </w:rPr>
            </w:pPr>
            <w:r w:rsidRPr="00EE05AA">
              <w:rPr>
                <w:rFonts w:asciiTheme="majorHAnsi" w:hAnsiTheme="majorHAnsi"/>
              </w:rPr>
              <w:t>2017-18</w:t>
            </w:r>
          </w:p>
        </w:tc>
        <w:tc>
          <w:tcPr>
            <w:tcW w:w="1107" w:type="dxa"/>
            <w:tcBorders>
              <w:top w:val="nil"/>
              <w:left w:val="nil"/>
              <w:bottom w:val="single" w:sz="4" w:space="0" w:color="C0C0C0"/>
              <w:right w:val="single" w:sz="4" w:space="0" w:color="C0C0C0"/>
            </w:tcBorders>
            <w:shd w:val="clear" w:color="000000" w:fill="D0CECE"/>
            <w:noWrap/>
            <w:vAlign w:val="bottom"/>
            <w:hideMark/>
          </w:tcPr>
          <w:p w14:paraId="5967896D"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0CECE"/>
            <w:noWrap/>
            <w:vAlign w:val="bottom"/>
            <w:hideMark/>
          </w:tcPr>
          <w:p w14:paraId="74100B24"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D0CECE"/>
            <w:noWrap/>
            <w:vAlign w:val="bottom"/>
            <w:hideMark/>
          </w:tcPr>
          <w:p w14:paraId="26884E2E"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D0CECE"/>
            <w:noWrap/>
            <w:vAlign w:val="bottom"/>
            <w:hideMark/>
          </w:tcPr>
          <w:p w14:paraId="562BF5FA" w14:textId="77777777" w:rsidR="00153816" w:rsidRPr="00EE05AA" w:rsidRDefault="00153816" w:rsidP="006B1E56">
            <w:pPr>
              <w:jc w:val="right"/>
              <w:rPr>
                <w:rFonts w:asciiTheme="majorHAnsi" w:hAnsiTheme="majorHAnsi"/>
              </w:rPr>
            </w:pPr>
            <w:r w:rsidRPr="00EE05AA">
              <w:rPr>
                <w:rFonts w:asciiTheme="majorHAnsi" w:hAnsiTheme="majorHAnsi"/>
              </w:rPr>
              <w:t>5</w:t>
            </w:r>
          </w:p>
        </w:tc>
        <w:tc>
          <w:tcPr>
            <w:tcW w:w="1134" w:type="dxa"/>
            <w:tcBorders>
              <w:top w:val="nil"/>
              <w:left w:val="nil"/>
              <w:bottom w:val="nil"/>
              <w:right w:val="nil"/>
            </w:tcBorders>
            <w:shd w:val="clear" w:color="000000" w:fill="D0CECE"/>
            <w:noWrap/>
            <w:vAlign w:val="bottom"/>
            <w:hideMark/>
          </w:tcPr>
          <w:p w14:paraId="6F886BA8" w14:textId="77777777" w:rsidR="00153816" w:rsidRPr="00EE05AA" w:rsidRDefault="00153816" w:rsidP="006B1E56">
            <w:pPr>
              <w:jc w:val="right"/>
              <w:rPr>
                <w:rFonts w:asciiTheme="majorHAnsi" w:hAnsiTheme="majorHAnsi"/>
              </w:rPr>
            </w:pPr>
            <w:r w:rsidRPr="00EE05AA">
              <w:rPr>
                <w:rFonts w:asciiTheme="majorHAnsi" w:hAnsiTheme="majorHAnsi"/>
              </w:rPr>
              <w:t>6</w:t>
            </w:r>
          </w:p>
        </w:tc>
      </w:tr>
      <w:tr w:rsidR="00153816" w:rsidRPr="00EE05AA" w14:paraId="736DF3B5" w14:textId="77777777" w:rsidTr="0080697E">
        <w:trPr>
          <w:trHeight w:val="320"/>
        </w:trPr>
        <w:tc>
          <w:tcPr>
            <w:tcW w:w="1715" w:type="dxa"/>
            <w:tcBorders>
              <w:top w:val="nil"/>
              <w:left w:val="single" w:sz="4" w:space="0" w:color="C0C0C0"/>
              <w:bottom w:val="single" w:sz="4" w:space="0" w:color="C0C0C0"/>
              <w:right w:val="single" w:sz="4" w:space="0" w:color="C0C0C0"/>
            </w:tcBorders>
            <w:shd w:val="clear" w:color="000000" w:fill="EFCDFF"/>
            <w:noWrap/>
            <w:vAlign w:val="bottom"/>
            <w:hideMark/>
          </w:tcPr>
          <w:p w14:paraId="3FAEF7B3"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single" w:sz="4" w:space="0" w:color="C0C0C0"/>
              <w:right w:val="single" w:sz="4" w:space="0" w:color="C0C0C0"/>
            </w:tcBorders>
            <w:shd w:val="clear" w:color="000000" w:fill="EFCDFF"/>
            <w:noWrap/>
            <w:vAlign w:val="bottom"/>
            <w:hideMark/>
          </w:tcPr>
          <w:p w14:paraId="36617222"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FCDFF"/>
            <w:noWrap/>
            <w:vAlign w:val="bottom"/>
            <w:hideMark/>
          </w:tcPr>
          <w:p w14:paraId="53644F9A"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EFCDFF"/>
            <w:noWrap/>
            <w:vAlign w:val="bottom"/>
            <w:hideMark/>
          </w:tcPr>
          <w:p w14:paraId="4A4EAB33"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EFCDFF"/>
            <w:noWrap/>
            <w:vAlign w:val="bottom"/>
            <w:hideMark/>
          </w:tcPr>
          <w:p w14:paraId="470A9EB7"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EFCDFF"/>
            <w:noWrap/>
            <w:vAlign w:val="bottom"/>
            <w:hideMark/>
          </w:tcPr>
          <w:p w14:paraId="7D77AE7D"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2C365F32" w14:textId="77777777" w:rsidTr="0080697E">
        <w:trPr>
          <w:trHeight w:val="320"/>
        </w:trPr>
        <w:tc>
          <w:tcPr>
            <w:tcW w:w="1715" w:type="dxa"/>
            <w:tcBorders>
              <w:top w:val="nil"/>
              <w:left w:val="single" w:sz="4" w:space="0" w:color="C0C0C0"/>
              <w:bottom w:val="single" w:sz="4" w:space="0" w:color="C0C0C0"/>
              <w:right w:val="single" w:sz="4" w:space="0" w:color="C0C0C0"/>
            </w:tcBorders>
            <w:shd w:val="clear" w:color="000000" w:fill="EFCDFF"/>
            <w:noWrap/>
            <w:vAlign w:val="bottom"/>
            <w:hideMark/>
          </w:tcPr>
          <w:p w14:paraId="5C2B6229"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single" w:sz="4" w:space="0" w:color="C0C0C0"/>
              <w:right w:val="single" w:sz="4" w:space="0" w:color="C0C0C0"/>
            </w:tcBorders>
            <w:shd w:val="clear" w:color="000000" w:fill="EFCDFF"/>
            <w:noWrap/>
            <w:vAlign w:val="bottom"/>
            <w:hideMark/>
          </w:tcPr>
          <w:p w14:paraId="07619F08"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FCDFF"/>
            <w:noWrap/>
            <w:vAlign w:val="bottom"/>
            <w:hideMark/>
          </w:tcPr>
          <w:p w14:paraId="471EAB1B" w14:textId="77777777" w:rsidR="00153816" w:rsidRPr="00EE05AA" w:rsidRDefault="00153816" w:rsidP="006B1E56">
            <w:pPr>
              <w:rPr>
                <w:rFonts w:asciiTheme="majorHAnsi" w:hAnsiTheme="majorHAnsi"/>
              </w:rPr>
            </w:pPr>
            <w:r w:rsidRPr="00EE05AA">
              <w:rPr>
                <w:rFonts w:asciiTheme="majorHAnsi" w:hAnsiTheme="majorHAnsi"/>
              </w:rPr>
              <w:t>10 to 14</w:t>
            </w:r>
          </w:p>
        </w:tc>
        <w:tc>
          <w:tcPr>
            <w:tcW w:w="2014" w:type="dxa"/>
            <w:tcBorders>
              <w:top w:val="nil"/>
              <w:left w:val="nil"/>
              <w:bottom w:val="single" w:sz="4" w:space="0" w:color="C0C0C0"/>
              <w:right w:val="single" w:sz="4" w:space="0" w:color="C0C0C0"/>
            </w:tcBorders>
            <w:shd w:val="clear" w:color="000000" w:fill="EFCDFF"/>
            <w:noWrap/>
            <w:vAlign w:val="bottom"/>
            <w:hideMark/>
          </w:tcPr>
          <w:p w14:paraId="7E97034C"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EFCDFF"/>
            <w:noWrap/>
            <w:vAlign w:val="bottom"/>
            <w:hideMark/>
          </w:tcPr>
          <w:p w14:paraId="0266684F" w14:textId="77777777" w:rsidR="00153816" w:rsidRPr="00EE05AA" w:rsidRDefault="00153816" w:rsidP="006B1E56">
            <w:pPr>
              <w:jc w:val="right"/>
              <w:rPr>
                <w:rFonts w:asciiTheme="majorHAnsi" w:hAnsiTheme="majorHAnsi"/>
              </w:rPr>
            </w:pPr>
            <w:r w:rsidRPr="00EE05AA">
              <w:rPr>
                <w:rFonts w:asciiTheme="majorHAnsi" w:hAnsiTheme="majorHAnsi"/>
              </w:rPr>
              <w:t>7</w:t>
            </w:r>
          </w:p>
        </w:tc>
        <w:tc>
          <w:tcPr>
            <w:tcW w:w="1134" w:type="dxa"/>
            <w:tcBorders>
              <w:top w:val="nil"/>
              <w:left w:val="nil"/>
              <w:bottom w:val="nil"/>
              <w:right w:val="nil"/>
            </w:tcBorders>
            <w:shd w:val="clear" w:color="000000" w:fill="EFCDFF"/>
            <w:noWrap/>
            <w:vAlign w:val="bottom"/>
            <w:hideMark/>
          </w:tcPr>
          <w:p w14:paraId="2DBC4F2E" w14:textId="77777777" w:rsidR="00153816" w:rsidRPr="00EE05AA" w:rsidRDefault="00153816" w:rsidP="006B1E56">
            <w:pPr>
              <w:jc w:val="right"/>
              <w:rPr>
                <w:rFonts w:asciiTheme="majorHAnsi" w:hAnsiTheme="majorHAnsi"/>
              </w:rPr>
            </w:pPr>
            <w:r w:rsidRPr="00EE05AA">
              <w:rPr>
                <w:rFonts w:asciiTheme="majorHAnsi" w:hAnsiTheme="majorHAnsi"/>
              </w:rPr>
              <w:t>9</w:t>
            </w:r>
          </w:p>
        </w:tc>
      </w:tr>
      <w:tr w:rsidR="00153816" w:rsidRPr="00EE05AA" w14:paraId="66D3F24E"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3CEED695"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31AAEEAB"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0592D61D"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E2EFDA"/>
            <w:vAlign w:val="bottom"/>
            <w:hideMark/>
          </w:tcPr>
          <w:p w14:paraId="6D2CCEA7"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nil"/>
              <w:left w:val="nil"/>
              <w:bottom w:val="single" w:sz="4" w:space="0" w:color="C0C0C0"/>
              <w:right w:val="single" w:sz="4" w:space="0" w:color="C0C0C0"/>
            </w:tcBorders>
            <w:shd w:val="clear" w:color="000000" w:fill="E2EFDA"/>
            <w:vAlign w:val="bottom"/>
            <w:hideMark/>
          </w:tcPr>
          <w:p w14:paraId="6B00DEBE"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E2EFDA"/>
            <w:noWrap/>
            <w:vAlign w:val="bottom"/>
            <w:hideMark/>
          </w:tcPr>
          <w:p w14:paraId="1B6E0574"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0EAB11BE"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6C0378E5"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5C41CBDF"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63370C64"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E2EFDA"/>
            <w:vAlign w:val="bottom"/>
            <w:hideMark/>
          </w:tcPr>
          <w:p w14:paraId="51E34520"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single" w:sz="4" w:space="0" w:color="C0C0C0"/>
              <w:right w:val="single" w:sz="4" w:space="0" w:color="C0C0C0"/>
            </w:tcBorders>
            <w:shd w:val="clear" w:color="000000" w:fill="E2EFDA"/>
            <w:vAlign w:val="bottom"/>
            <w:hideMark/>
          </w:tcPr>
          <w:p w14:paraId="16DFAC94" w14:textId="77777777" w:rsidR="00153816" w:rsidRPr="00EE05AA" w:rsidRDefault="00153816" w:rsidP="006B1E56">
            <w:pPr>
              <w:jc w:val="right"/>
              <w:rPr>
                <w:rFonts w:asciiTheme="majorHAnsi" w:hAnsiTheme="majorHAnsi"/>
              </w:rPr>
            </w:pPr>
            <w:r w:rsidRPr="00EE05AA">
              <w:rPr>
                <w:rFonts w:asciiTheme="majorHAnsi" w:hAnsiTheme="majorHAnsi"/>
              </w:rPr>
              <w:t>5</w:t>
            </w:r>
          </w:p>
        </w:tc>
        <w:tc>
          <w:tcPr>
            <w:tcW w:w="1134" w:type="dxa"/>
            <w:tcBorders>
              <w:top w:val="nil"/>
              <w:left w:val="nil"/>
              <w:bottom w:val="nil"/>
              <w:right w:val="nil"/>
            </w:tcBorders>
            <w:shd w:val="clear" w:color="000000" w:fill="E2EFDA"/>
            <w:noWrap/>
            <w:vAlign w:val="bottom"/>
            <w:hideMark/>
          </w:tcPr>
          <w:p w14:paraId="1DEC55FA"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FB8A607"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53D46929"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16D31A25"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3B9EC586"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E2EFDA"/>
            <w:vAlign w:val="bottom"/>
            <w:hideMark/>
          </w:tcPr>
          <w:p w14:paraId="550C757A"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E2EFDA"/>
            <w:vAlign w:val="bottom"/>
            <w:hideMark/>
          </w:tcPr>
          <w:p w14:paraId="5A03B451" w14:textId="77777777" w:rsidR="00153816" w:rsidRPr="00EE05AA" w:rsidRDefault="00153816" w:rsidP="006B1E56">
            <w:pPr>
              <w:jc w:val="right"/>
              <w:rPr>
                <w:rFonts w:asciiTheme="majorHAnsi" w:hAnsiTheme="majorHAnsi"/>
              </w:rPr>
            </w:pPr>
            <w:r w:rsidRPr="00EE05AA">
              <w:rPr>
                <w:rFonts w:asciiTheme="majorHAnsi" w:hAnsiTheme="majorHAnsi"/>
              </w:rPr>
              <w:t>5</w:t>
            </w:r>
          </w:p>
        </w:tc>
        <w:tc>
          <w:tcPr>
            <w:tcW w:w="1134" w:type="dxa"/>
            <w:tcBorders>
              <w:top w:val="nil"/>
              <w:left w:val="nil"/>
              <w:bottom w:val="nil"/>
              <w:right w:val="nil"/>
            </w:tcBorders>
            <w:shd w:val="clear" w:color="000000" w:fill="E2EFDA"/>
            <w:noWrap/>
            <w:vAlign w:val="bottom"/>
            <w:hideMark/>
          </w:tcPr>
          <w:p w14:paraId="5B296FF3"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3D75F438"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49C631D6"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5372A9AB"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70E3F789"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E2EFDA"/>
            <w:vAlign w:val="bottom"/>
            <w:hideMark/>
          </w:tcPr>
          <w:p w14:paraId="749C2A9E"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single" w:sz="4" w:space="0" w:color="C0C0C0"/>
              <w:right w:val="single" w:sz="4" w:space="0" w:color="C0C0C0"/>
            </w:tcBorders>
            <w:shd w:val="clear" w:color="000000" w:fill="E2EFDA"/>
            <w:vAlign w:val="bottom"/>
            <w:hideMark/>
          </w:tcPr>
          <w:p w14:paraId="261BE650" w14:textId="77777777" w:rsidR="00153816" w:rsidRPr="00EE05AA" w:rsidRDefault="00153816" w:rsidP="006B1E56">
            <w:pPr>
              <w:jc w:val="right"/>
              <w:rPr>
                <w:rFonts w:asciiTheme="majorHAnsi" w:hAnsiTheme="majorHAnsi"/>
              </w:rPr>
            </w:pPr>
            <w:r w:rsidRPr="00EE05AA">
              <w:rPr>
                <w:rFonts w:asciiTheme="majorHAnsi" w:hAnsiTheme="majorHAnsi"/>
              </w:rPr>
              <w:t>14</w:t>
            </w:r>
          </w:p>
        </w:tc>
        <w:tc>
          <w:tcPr>
            <w:tcW w:w="1134" w:type="dxa"/>
            <w:tcBorders>
              <w:top w:val="nil"/>
              <w:left w:val="nil"/>
              <w:bottom w:val="nil"/>
              <w:right w:val="nil"/>
            </w:tcBorders>
            <w:shd w:val="clear" w:color="000000" w:fill="E2EFDA"/>
            <w:noWrap/>
            <w:vAlign w:val="bottom"/>
            <w:hideMark/>
          </w:tcPr>
          <w:p w14:paraId="175F48BB"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665BADA9"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E2EFDA"/>
            <w:vAlign w:val="bottom"/>
            <w:hideMark/>
          </w:tcPr>
          <w:p w14:paraId="7126CA5A" w14:textId="77777777" w:rsidR="00153816" w:rsidRPr="00EE05AA" w:rsidRDefault="00153816" w:rsidP="006B1E56">
            <w:pPr>
              <w:rPr>
                <w:rFonts w:asciiTheme="majorHAnsi" w:hAnsiTheme="majorHAnsi"/>
              </w:rPr>
            </w:pPr>
            <w:r w:rsidRPr="00EE05AA">
              <w:rPr>
                <w:rFonts w:asciiTheme="majorHAnsi" w:hAnsiTheme="majorHAnsi"/>
              </w:rPr>
              <w:t>2013-14</w:t>
            </w:r>
          </w:p>
        </w:tc>
        <w:tc>
          <w:tcPr>
            <w:tcW w:w="1107" w:type="dxa"/>
            <w:tcBorders>
              <w:top w:val="nil"/>
              <w:left w:val="nil"/>
              <w:bottom w:val="single" w:sz="4" w:space="0" w:color="C0C0C0"/>
              <w:right w:val="single" w:sz="4" w:space="0" w:color="C0C0C0"/>
            </w:tcBorders>
            <w:shd w:val="clear" w:color="000000" w:fill="E2EFDA"/>
            <w:vAlign w:val="bottom"/>
            <w:hideMark/>
          </w:tcPr>
          <w:p w14:paraId="782DDFDE"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E2EFDA"/>
            <w:vAlign w:val="bottom"/>
            <w:hideMark/>
          </w:tcPr>
          <w:p w14:paraId="12F24D8C"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E2EFDA"/>
            <w:vAlign w:val="bottom"/>
            <w:hideMark/>
          </w:tcPr>
          <w:p w14:paraId="7495BE1C"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E2EFDA"/>
            <w:vAlign w:val="bottom"/>
            <w:hideMark/>
          </w:tcPr>
          <w:p w14:paraId="2FAB389A" w14:textId="77777777" w:rsidR="00153816" w:rsidRPr="00EE05AA" w:rsidRDefault="00153816" w:rsidP="006B1E56">
            <w:pPr>
              <w:jc w:val="right"/>
              <w:rPr>
                <w:rFonts w:asciiTheme="majorHAnsi" w:hAnsiTheme="majorHAnsi"/>
              </w:rPr>
            </w:pPr>
            <w:r w:rsidRPr="00EE05AA">
              <w:rPr>
                <w:rFonts w:asciiTheme="majorHAnsi" w:hAnsiTheme="majorHAnsi"/>
              </w:rPr>
              <w:t>61</w:t>
            </w:r>
          </w:p>
        </w:tc>
        <w:tc>
          <w:tcPr>
            <w:tcW w:w="1134" w:type="dxa"/>
            <w:tcBorders>
              <w:top w:val="nil"/>
              <w:left w:val="nil"/>
              <w:bottom w:val="nil"/>
              <w:right w:val="nil"/>
            </w:tcBorders>
            <w:shd w:val="clear" w:color="000000" w:fill="E2EFDA"/>
            <w:noWrap/>
            <w:vAlign w:val="bottom"/>
            <w:hideMark/>
          </w:tcPr>
          <w:p w14:paraId="56A72C4F" w14:textId="77777777" w:rsidR="00153816" w:rsidRPr="00EE05AA" w:rsidRDefault="00153816" w:rsidP="006B1E56">
            <w:pPr>
              <w:jc w:val="right"/>
              <w:rPr>
                <w:rFonts w:asciiTheme="majorHAnsi" w:hAnsiTheme="majorHAnsi"/>
              </w:rPr>
            </w:pPr>
            <w:r w:rsidRPr="00EE05AA">
              <w:rPr>
                <w:rFonts w:asciiTheme="majorHAnsi" w:hAnsiTheme="majorHAnsi"/>
              </w:rPr>
              <w:t>87</w:t>
            </w:r>
          </w:p>
        </w:tc>
      </w:tr>
      <w:tr w:rsidR="00153816" w:rsidRPr="00EE05AA" w14:paraId="4E9F0C93"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9E1F2"/>
            <w:vAlign w:val="bottom"/>
            <w:hideMark/>
          </w:tcPr>
          <w:p w14:paraId="662219DD"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9E1F2"/>
            <w:vAlign w:val="bottom"/>
            <w:hideMark/>
          </w:tcPr>
          <w:p w14:paraId="45471B96"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9E1F2"/>
            <w:vAlign w:val="bottom"/>
            <w:hideMark/>
          </w:tcPr>
          <w:p w14:paraId="53FA1D56"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D9E1F2"/>
            <w:vAlign w:val="bottom"/>
            <w:hideMark/>
          </w:tcPr>
          <w:p w14:paraId="3D444FE6"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nil"/>
              <w:left w:val="nil"/>
              <w:bottom w:val="single" w:sz="4" w:space="0" w:color="C0C0C0"/>
              <w:right w:val="single" w:sz="4" w:space="0" w:color="C0C0C0"/>
            </w:tcBorders>
            <w:shd w:val="clear" w:color="000000" w:fill="D9E1F2"/>
            <w:vAlign w:val="bottom"/>
            <w:hideMark/>
          </w:tcPr>
          <w:p w14:paraId="00B9F45D"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D9E1F2"/>
            <w:noWrap/>
            <w:vAlign w:val="bottom"/>
            <w:hideMark/>
          </w:tcPr>
          <w:p w14:paraId="78E04409"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0078DC33"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9E1F2"/>
            <w:vAlign w:val="bottom"/>
            <w:hideMark/>
          </w:tcPr>
          <w:p w14:paraId="46B239CB"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9E1F2"/>
            <w:vAlign w:val="bottom"/>
            <w:hideMark/>
          </w:tcPr>
          <w:p w14:paraId="3E600B25"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9E1F2"/>
            <w:vAlign w:val="bottom"/>
            <w:hideMark/>
          </w:tcPr>
          <w:p w14:paraId="05986196"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D9E1F2"/>
            <w:vAlign w:val="bottom"/>
            <w:hideMark/>
          </w:tcPr>
          <w:p w14:paraId="41E4747C"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single" w:sz="4" w:space="0" w:color="C0C0C0"/>
              <w:right w:val="single" w:sz="4" w:space="0" w:color="C0C0C0"/>
            </w:tcBorders>
            <w:shd w:val="clear" w:color="000000" w:fill="D9E1F2"/>
            <w:vAlign w:val="bottom"/>
            <w:hideMark/>
          </w:tcPr>
          <w:p w14:paraId="74558D57" w14:textId="77777777" w:rsidR="00153816" w:rsidRPr="00EE05AA" w:rsidRDefault="00153816" w:rsidP="006B1E56">
            <w:pPr>
              <w:jc w:val="right"/>
              <w:rPr>
                <w:rFonts w:asciiTheme="majorHAnsi" w:hAnsiTheme="majorHAnsi"/>
              </w:rPr>
            </w:pPr>
            <w:r w:rsidRPr="00EE05AA">
              <w:rPr>
                <w:rFonts w:asciiTheme="majorHAnsi" w:hAnsiTheme="majorHAnsi"/>
              </w:rPr>
              <w:t>5</w:t>
            </w:r>
          </w:p>
        </w:tc>
        <w:tc>
          <w:tcPr>
            <w:tcW w:w="1134" w:type="dxa"/>
            <w:tcBorders>
              <w:top w:val="nil"/>
              <w:left w:val="nil"/>
              <w:bottom w:val="nil"/>
              <w:right w:val="nil"/>
            </w:tcBorders>
            <w:shd w:val="clear" w:color="000000" w:fill="D9E1F2"/>
            <w:noWrap/>
            <w:vAlign w:val="bottom"/>
            <w:hideMark/>
          </w:tcPr>
          <w:p w14:paraId="111C29B6"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68B671CA"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9E1F2"/>
            <w:vAlign w:val="bottom"/>
            <w:hideMark/>
          </w:tcPr>
          <w:p w14:paraId="37A44308" w14:textId="77777777" w:rsidR="00153816" w:rsidRPr="00EE05AA" w:rsidRDefault="00153816" w:rsidP="006B1E56">
            <w:pPr>
              <w:rPr>
                <w:rFonts w:asciiTheme="majorHAnsi" w:hAnsiTheme="majorHAnsi"/>
              </w:rPr>
            </w:pPr>
            <w:r w:rsidRPr="00EE05AA">
              <w:rPr>
                <w:rFonts w:asciiTheme="majorHAnsi" w:hAnsiTheme="majorHAnsi"/>
              </w:rPr>
              <w:lastRenderedPageBreak/>
              <w:t>2014-15</w:t>
            </w:r>
          </w:p>
        </w:tc>
        <w:tc>
          <w:tcPr>
            <w:tcW w:w="1107" w:type="dxa"/>
            <w:tcBorders>
              <w:top w:val="nil"/>
              <w:left w:val="nil"/>
              <w:bottom w:val="single" w:sz="4" w:space="0" w:color="C0C0C0"/>
              <w:right w:val="single" w:sz="4" w:space="0" w:color="C0C0C0"/>
            </w:tcBorders>
            <w:shd w:val="clear" w:color="000000" w:fill="D9E1F2"/>
            <w:vAlign w:val="bottom"/>
            <w:hideMark/>
          </w:tcPr>
          <w:p w14:paraId="33AC4DB8"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9E1F2"/>
            <w:vAlign w:val="bottom"/>
            <w:hideMark/>
          </w:tcPr>
          <w:p w14:paraId="742E598B"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D9E1F2"/>
            <w:vAlign w:val="bottom"/>
            <w:hideMark/>
          </w:tcPr>
          <w:p w14:paraId="312E1133"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D9E1F2"/>
            <w:vAlign w:val="bottom"/>
            <w:hideMark/>
          </w:tcPr>
          <w:p w14:paraId="4F5693FD"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D9E1F2"/>
            <w:noWrap/>
            <w:vAlign w:val="bottom"/>
            <w:hideMark/>
          </w:tcPr>
          <w:p w14:paraId="47782F2B"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ED89D3E"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9E1F2"/>
            <w:vAlign w:val="bottom"/>
            <w:hideMark/>
          </w:tcPr>
          <w:p w14:paraId="3A38452C"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9E1F2"/>
            <w:vAlign w:val="bottom"/>
            <w:hideMark/>
          </w:tcPr>
          <w:p w14:paraId="1BC28D51"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9E1F2"/>
            <w:vAlign w:val="bottom"/>
            <w:hideMark/>
          </w:tcPr>
          <w:p w14:paraId="11B41839"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D9E1F2"/>
            <w:vAlign w:val="bottom"/>
            <w:hideMark/>
          </w:tcPr>
          <w:p w14:paraId="4511F43C"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single" w:sz="4" w:space="0" w:color="C0C0C0"/>
              <w:right w:val="single" w:sz="4" w:space="0" w:color="C0C0C0"/>
            </w:tcBorders>
            <w:shd w:val="clear" w:color="000000" w:fill="D9E1F2"/>
            <w:vAlign w:val="bottom"/>
            <w:hideMark/>
          </w:tcPr>
          <w:p w14:paraId="5CD37E1B"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D9E1F2"/>
            <w:noWrap/>
            <w:vAlign w:val="bottom"/>
            <w:hideMark/>
          </w:tcPr>
          <w:p w14:paraId="3899C99F"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4FCCD99A"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D9E1F2"/>
            <w:vAlign w:val="bottom"/>
            <w:hideMark/>
          </w:tcPr>
          <w:p w14:paraId="57155479" w14:textId="77777777" w:rsidR="00153816" w:rsidRPr="00EE05AA" w:rsidRDefault="00153816" w:rsidP="006B1E56">
            <w:pPr>
              <w:rPr>
                <w:rFonts w:asciiTheme="majorHAnsi" w:hAnsiTheme="majorHAnsi"/>
              </w:rPr>
            </w:pPr>
            <w:r w:rsidRPr="00EE05AA">
              <w:rPr>
                <w:rFonts w:asciiTheme="majorHAnsi" w:hAnsiTheme="majorHAnsi"/>
              </w:rPr>
              <w:t>2014-15</w:t>
            </w:r>
          </w:p>
        </w:tc>
        <w:tc>
          <w:tcPr>
            <w:tcW w:w="1107" w:type="dxa"/>
            <w:tcBorders>
              <w:top w:val="nil"/>
              <w:left w:val="nil"/>
              <w:bottom w:val="single" w:sz="4" w:space="0" w:color="C0C0C0"/>
              <w:right w:val="single" w:sz="4" w:space="0" w:color="C0C0C0"/>
            </w:tcBorders>
            <w:shd w:val="clear" w:color="000000" w:fill="D9E1F2"/>
            <w:vAlign w:val="bottom"/>
            <w:hideMark/>
          </w:tcPr>
          <w:p w14:paraId="68569706"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D9E1F2"/>
            <w:vAlign w:val="bottom"/>
            <w:hideMark/>
          </w:tcPr>
          <w:p w14:paraId="5CEC9EB0"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D9E1F2"/>
            <w:vAlign w:val="bottom"/>
            <w:hideMark/>
          </w:tcPr>
          <w:p w14:paraId="7C90BA26"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D9E1F2"/>
            <w:vAlign w:val="bottom"/>
            <w:hideMark/>
          </w:tcPr>
          <w:p w14:paraId="57423971" w14:textId="77777777" w:rsidR="00153816" w:rsidRPr="00EE05AA" w:rsidRDefault="00153816" w:rsidP="006B1E56">
            <w:pPr>
              <w:jc w:val="right"/>
              <w:rPr>
                <w:rFonts w:asciiTheme="majorHAnsi" w:hAnsiTheme="majorHAnsi"/>
              </w:rPr>
            </w:pPr>
            <w:r w:rsidRPr="00EE05AA">
              <w:rPr>
                <w:rFonts w:asciiTheme="majorHAnsi" w:hAnsiTheme="majorHAnsi"/>
              </w:rPr>
              <w:t>53</w:t>
            </w:r>
          </w:p>
        </w:tc>
        <w:tc>
          <w:tcPr>
            <w:tcW w:w="1134" w:type="dxa"/>
            <w:tcBorders>
              <w:top w:val="nil"/>
              <w:left w:val="nil"/>
              <w:bottom w:val="nil"/>
              <w:right w:val="nil"/>
            </w:tcBorders>
            <w:shd w:val="clear" w:color="000000" w:fill="D9E1F2"/>
            <w:noWrap/>
            <w:vAlign w:val="bottom"/>
            <w:hideMark/>
          </w:tcPr>
          <w:p w14:paraId="22A284C9" w14:textId="77777777" w:rsidR="00153816" w:rsidRPr="00EE05AA" w:rsidRDefault="00153816" w:rsidP="006B1E56">
            <w:pPr>
              <w:jc w:val="right"/>
              <w:rPr>
                <w:rFonts w:asciiTheme="majorHAnsi" w:hAnsiTheme="majorHAnsi"/>
              </w:rPr>
            </w:pPr>
            <w:r w:rsidRPr="00EE05AA">
              <w:rPr>
                <w:rFonts w:asciiTheme="majorHAnsi" w:hAnsiTheme="majorHAnsi"/>
              </w:rPr>
              <w:t>61</w:t>
            </w:r>
          </w:p>
        </w:tc>
      </w:tr>
      <w:tr w:rsidR="00153816" w:rsidRPr="00EE05AA" w14:paraId="7539C864"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00C4C6D6"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180CA3B6"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37F137CA"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FF2CC"/>
            <w:vAlign w:val="bottom"/>
            <w:hideMark/>
          </w:tcPr>
          <w:p w14:paraId="3BF607FA"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nil"/>
              <w:left w:val="nil"/>
              <w:bottom w:val="single" w:sz="4" w:space="0" w:color="C0C0C0"/>
              <w:right w:val="single" w:sz="4" w:space="0" w:color="C0C0C0"/>
            </w:tcBorders>
            <w:shd w:val="clear" w:color="000000" w:fill="FFF2CC"/>
            <w:vAlign w:val="bottom"/>
            <w:hideMark/>
          </w:tcPr>
          <w:p w14:paraId="689CDDD5"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FFF2CC"/>
            <w:noWrap/>
            <w:vAlign w:val="bottom"/>
            <w:hideMark/>
          </w:tcPr>
          <w:p w14:paraId="64F71050"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0D716887"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44C9A3C8"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069D0873"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5159E09E"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FF2CC"/>
            <w:vAlign w:val="bottom"/>
            <w:hideMark/>
          </w:tcPr>
          <w:p w14:paraId="000AFA20"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single" w:sz="4" w:space="0" w:color="C0C0C0"/>
              <w:right w:val="single" w:sz="4" w:space="0" w:color="C0C0C0"/>
            </w:tcBorders>
            <w:shd w:val="clear" w:color="000000" w:fill="FFF2CC"/>
            <w:vAlign w:val="bottom"/>
            <w:hideMark/>
          </w:tcPr>
          <w:p w14:paraId="402A403E" w14:textId="77777777" w:rsidR="00153816" w:rsidRPr="00EE05AA" w:rsidRDefault="00153816" w:rsidP="006B1E56">
            <w:pPr>
              <w:jc w:val="right"/>
              <w:rPr>
                <w:rFonts w:asciiTheme="majorHAnsi" w:hAnsiTheme="majorHAnsi"/>
              </w:rPr>
            </w:pPr>
            <w:r w:rsidRPr="00EE05AA">
              <w:rPr>
                <w:rFonts w:asciiTheme="majorHAnsi" w:hAnsiTheme="majorHAnsi"/>
              </w:rPr>
              <w:t>6</w:t>
            </w:r>
          </w:p>
        </w:tc>
        <w:tc>
          <w:tcPr>
            <w:tcW w:w="1134" w:type="dxa"/>
            <w:tcBorders>
              <w:top w:val="nil"/>
              <w:left w:val="nil"/>
              <w:bottom w:val="nil"/>
              <w:right w:val="nil"/>
            </w:tcBorders>
            <w:shd w:val="clear" w:color="000000" w:fill="FFF2CC"/>
            <w:noWrap/>
            <w:vAlign w:val="bottom"/>
            <w:hideMark/>
          </w:tcPr>
          <w:p w14:paraId="2FEF6138"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15839769"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52C3CBF3"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3C73F900"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48245907"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FF2CC"/>
            <w:vAlign w:val="bottom"/>
            <w:hideMark/>
          </w:tcPr>
          <w:p w14:paraId="35784E31"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single" w:sz="4" w:space="0" w:color="C0C0C0"/>
              <w:right w:val="single" w:sz="4" w:space="0" w:color="C0C0C0"/>
            </w:tcBorders>
            <w:shd w:val="clear" w:color="000000" w:fill="FFF2CC"/>
            <w:vAlign w:val="bottom"/>
            <w:hideMark/>
          </w:tcPr>
          <w:p w14:paraId="635C6FD0" w14:textId="77777777" w:rsidR="00153816" w:rsidRPr="00EE05AA" w:rsidRDefault="00153816" w:rsidP="006B1E56">
            <w:pPr>
              <w:jc w:val="right"/>
              <w:rPr>
                <w:rFonts w:asciiTheme="majorHAnsi" w:hAnsiTheme="majorHAnsi"/>
              </w:rPr>
            </w:pPr>
            <w:r w:rsidRPr="00EE05AA">
              <w:rPr>
                <w:rFonts w:asciiTheme="majorHAnsi" w:hAnsiTheme="majorHAnsi"/>
              </w:rPr>
              <w:t>4</w:t>
            </w:r>
          </w:p>
        </w:tc>
        <w:tc>
          <w:tcPr>
            <w:tcW w:w="1134" w:type="dxa"/>
            <w:tcBorders>
              <w:top w:val="nil"/>
              <w:left w:val="nil"/>
              <w:bottom w:val="nil"/>
              <w:right w:val="nil"/>
            </w:tcBorders>
            <w:shd w:val="clear" w:color="000000" w:fill="FFF2CC"/>
            <w:noWrap/>
            <w:vAlign w:val="bottom"/>
            <w:hideMark/>
          </w:tcPr>
          <w:p w14:paraId="6C3A5960"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33305F78"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74546165"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6429601E"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225945A1"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FF2CC"/>
            <w:vAlign w:val="bottom"/>
            <w:hideMark/>
          </w:tcPr>
          <w:p w14:paraId="55D0E616" w14:textId="77777777" w:rsidR="00153816" w:rsidRPr="00EE05AA" w:rsidRDefault="00153816" w:rsidP="006B1E56">
            <w:pPr>
              <w:rPr>
                <w:rFonts w:asciiTheme="majorHAnsi" w:hAnsiTheme="majorHAnsi"/>
              </w:rPr>
            </w:pPr>
            <w:r w:rsidRPr="00EE05AA">
              <w:rPr>
                <w:rFonts w:asciiTheme="majorHAnsi" w:hAnsiTheme="majorHAnsi"/>
              </w:rPr>
              <w:t>Other</w:t>
            </w:r>
          </w:p>
        </w:tc>
        <w:tc>
          <w:tcPr>
            <w:tcW w:w="2080" w:type="dxa"/>
            <w:tcBorders>
              <w:top w:val="nil"/>
              <w:left w:val="nil"/>
              <w:bottom w:val="single" w:sz="4" w:space="0" w:color="C0C0C0"/>
              <w:right w:val="single" w:sz="4" w:space="0" w:color="C0C0C0"/>
            </w:tcBorders>
            <w:shd w:val="clear" w:color="000000" w:fill="FFF2CC"/>
            <w:vAlign w:val="bottom"/>
            <w:hideMark/>
          </w:tcPr>
          <w:p w14:paraId="4A17C776"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FFF2CC"/>
            <w:noWrap/>
            <w:vAlign w:val="bottom"/>
            <w:hideMark/>
          </w:tcPr>
          <w:p w14:paraId="0D4BE22C"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2851E03D"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61CB3BE2"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4CC53D45"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45CC56AF"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FF2CC"/>
            <w:vAlign w:val="bottom"/>
            <w:hideMark/>
          </w:tcPr>
          <w:p w14:paraId="4B265084"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single" w:sz="4" w:space="0" w:color="C0C0C0"/>
              <w:right w:val="single" w:sz="4" w:space="0" w:color="C0C0C0"/>
            </w:tcBorders>
            <w:shd w:val="clear" w:color="000000" w:fill="FFF2CC"/>
            <w:vAlign w:val="bottom"/>
            <w:hideMark/>
          </w:tcPr>
          <w:p w14:paraId="17EBA2BC" w14:textId="77777777" w:rsidR="00153816" w:rsidRPr="00EE05AA" w:rsidRDefault="00153816" w:rsidP="006B1E56">
            <w:pPr>
              <w:jc w:val="right"/>
              <w:rPr>
                <w:rFonts w:asciiTheme="majorHAnsi" w:hAnsiTheme="majorHAnsi"/>
              </w:rPr>
            </w:pPr>
            <w:r w:rsidRPr="00EE05AA">
              <w:rPr>
                <w:rFonts w:asciiTheme="majorHAnsi" w:hAnsiTheme="majorHAnsi"/>
              </w:rPr>
              <w:t>9</w:t>
            </w:r>
          </w:p>
        </w:tc>
        <w:tc>
          <w:tcPr>
            <w:tcW w:w="1134" w:type="dxa"/>
            <w:tcBorders>
              <w:top w:val="nil"/>
              <w:left w:val="nil"/>
              <w:bottom w:val="nil"/>
              <w:right w:val="nil"/>
            </w:tcBorders>
            <w:shd w:val="clear" w:color="000000" w:fill="FFF2CC"/>
            <w:noWrap/>
            <w:vAlign w:val="bottom"/>
            <w:hideMark/>
          </w:tcPr>
          <w:p w14:paraId="45CEC46A"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8767CF0"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FF2CC"/>
            <w:vAlign w:val="bottom"/>
            <w:hideMark/>
          </w:tcPr>
          <w:p w14:paraId="681453CF" w14:textId="77777777" w:rsidR="00153816" w:rsidRPr="00EE05AA" w:rsidRDefault="00153816" w:rsidP="006B1E56">
            <w:pPr>
              <w:rPr>
                <w:rFonts w:asciiTheme="majorHAnsi" w:hAnsiTheme="majorHAnsi"/>
              </w:rPr>
            </w:pPr>
            <w:r w:rsidRPr="00EE05AA">
              <w:rPr>
                <w:rFonts w:asciiTheme="majorHAnsi" w:hAnsiTheme="majorHAnsi"/>
              </w:rPr>
              <w:t>2015-16</w:t>
            </w:r>
          </w:p>
        </w:tc>
        <w:tc>
          <w:tcPr>
            <w:tcW w:w="1107" w:type="dxa"/>
            <w:tcBorders>
              <w:top w:val="nil"/>
              <w:left w:val="nil"/>
              <w:bottom w:val="single" w:sz="4" w:space="0" w:color="C0C0C0"/>
              <w:right w:val="single" w:sz="4" w:space="0" w:color="C0C0C0"/>
            </w:tcBorders>
            <w:shd w:val="clear" w:color="000000" w:fill="FFF2CC"/>
            <w:vAlign w:val="bottom"/>
            <w:hideMark/>
          </w:tcPr>
          <w:p w14:paraId="6EE00942"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FF2CC"/>
            <w:vAlign w:val="bottom"/>
            <w:hideMark/>
          </w:tcPr>
          <w:p w14:paraId="23D019BF"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FF2CC"/>
            <w:vAlign w:val="bottom"/>
            <w:hideMark/>
          </w:tcPr>
          <w:p w14:paraId="0178761A"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single" w:sz="4" w:space="0" w:color="C0C0C0"/>
              <w:right w:val="single" w:sz="4" w:space="0" w:color="C0C0C0"/>
            </w:tcBorders>
            <w:shd w:val="clear" w:color="000000" w:fill="FFF2CC"/>
            <w:vAlign w:val="bottom"/>
            <w:hideMark/>
          </w:tcPr>
          <w:p w14:paraId="05578264" w14:textId="77777777" w:rsidR="00153816" w:rsidRPr="00EE05AA" w:rsidRDefault="00153816" w:rsidP="006B1E56">
            <w:pPr>
              <w:jc w:val="right"/>
              <w:rPr>
                <w:rFonts w:asciiTheme="majorHAnsi" w:hAnsiTheme="majorHAnsi"/>
              </w:rPr>
            </w:pPr>
            <w:r w:rsidRPr="00EE05AA">
              <w:rPr>
                <w:rFonts w:asciiTheme="majorHAnsi" w:hAnsiTheme="majorHAnsi"/>
              </w:rPr>
              <w:t>54</w:t>
            </w:r>
          </w:p>
        </w:tc>
        <w:tc>
          <w:tcPr>
            <w:tcW w:w="1134" w:type="dxa"/>
            <w:tcBorders>
              <w:top w:val="nil"/>
              <w:left w:val="nil"/>
              <w:bottom w:val="nil"/>
              <w:right w:val="nil"/>
            </w:tcBorders>
            <w:shd w:val="clear" w:color="000000" w:fill="FFF2CC"/>
            <w:noWrap/>
            <w:vAlign w:val="bottom"/>
            <w:hideMark/>
          </w:tcPr>
          <w:p w14:paraId="0931D9A0" w14:textId="77777777" w:rsidR="00153816" w:rsidRPr="00EE05AA" w:rsidRDefault="00153816" w:rsidP="006B1E56">
            <w:pPr>
              <w:jc w:val="right"/>
              <w:rPr>
                <w:rFonts w:asciiTheme="majorHAnsi" w:hAnsiTheme="majorHAnsi"/>
              </w:rPr>
            </w:pPr>
            <w:r w:rsidRPr="00EE05AA">
              <w:rPr>
                <w:rFonts w:asciiTheme="majorHAnsi" w:hAnsiTheme="majorHAnsi"/>
              </w:rPr>
              <w:t>76</w:t>
            </w:r>
          </w:p>
        </w:tc>
      </w:tr>
      <w:tr w:rsidR="00153816" w:rsidRPr="00EE05AA" w14:paraId="7EF0CC45"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CE4D6"/>
            <w:vAlign w:val="bottom"/>
            <w:hideMark/>
          </w:tcPr>
          <w:p w14:paraId="54A3EB65"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single" w:sz="4" w:space="0" w:color="C0C0C0"/>
              <w:right w:val="single" w:sz="4" w:space="0" w:color="C0C0C0"/>
            </w:tcBorders>
            <w:shd w:val="clear" w:color="000000" w:fill="FCE4D6"/>
            <w:vAlign w:val="bottom"/>
            <w:hideMark/>
          </w:tcPr>
          <w:p w14:paraId="2F8A5670"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CE4D6"/>
            <w:vAlign w:val="bottom"/>
            <w:hideMark/>
          </w:tcPr>
          <w:p w14:paraId="6922CADF"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CE4D6"/>
            <w:vAlign w:val="bottom"/>
            <w:hideMark/>
          </w:tcPr>
          <w:p w14:paraId="76CDB216"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nil"/>
              <w:left w:val="nil"/>
              <w:bottom w:val="single" w:sz="4" w:space="0" w:color="C0C0C0"/>
              <w:right w:val="single" w:sz="4" w:space="0" w:color="C0C0C0"/>
            </w:tcBorders>
            <w:shd w:val="clear" w:color="000000" w:fill="FCE4D6"/>
            <w:vAlign w:val="bottom"/>
            <w:hideMark/>
          </w:tcPr>
          <w:p w14:paraId="4C35F778" w14:textId="77777777" w:rsidR="00153816" w:rsidRPr="00EE05AA" w:rsidRDefault="00153816" w:rsidP="006B1E56">
            <w:pPr>
              <w:jc w:val="right"/>
              <w:rPr>
                <w:rFonts w:asciiTheme="majorHAnsi" w:hAnsiTheme="majorHAnsi"/>
              </w:rPr>
            </w:pPr>
            <w:r w:rsidRPr="00EE05AA">
              <w:rPr>
                <w:rFonts w:asciiTheme="majorHAnsi" w:hAnsiTheme="majorHAnsi"/>
              </w:rPr>
              <w:t>3</w:t>
            </w:r>
          </w:p>
        </w:tc>
        <w:tc>
          <w:tcPr>
            <w:tcW w:w="1134" w:type="dxa"/>
            <w:tcBorders>
              <w:top w:val="nil"/>
              <w:left w:val="nil"/>
              <w:bottom w:val="nil"/>
              <w:right w:val="nil"/>
            </w:tcBorders>
            <w:shd w:val="clear" w:color="000000" w:fill="FCE4D6"/>
            <w:noWrap/>
            <w:vAlign w:val="bottom"/>
            <w:hideMark/>
          </w:tcPr>
          <w:p w14:paraId="4D638BA3"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AEAE972" w14:textId="77777777" w:rsidTr="0080697E">
        <w:trPr>
          <w:trHeight w:val="540"/>
        </w:trPr>
        <w:tc>
          <w:tcPr>
            <w:tcW w:w="1715" w:type="dxa"/>
            <w:tcBorders>
              <w:top w:val="nil"/>
              <w:left w:val="single" w:sz="4" w:space="0" w:color="C0C0C0"/>
              <w:bottom w:val="single" w:sz="4" w:space="0" w:color="C0C0C0"/>
              <w:right w:val="single" w:sz="4" w:space="0" w:color="C0C0C0"/>
            </w:tcBorders>
            <w:shd w:val="clear" w:color="000000" w:fill="FCE4D6"/>
            <w:vAlign w:val="bottom"/>
            <w:hideMark/>
          </w:tcPr>
          <w:p w14:paraId="76D96E05"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single" w:sz="4" w:space="0" w:color="C0C0C0"/>
              <w:right w:val="single" w:sz="4" w:space="0" w:color="C0C0C0"/>
            </w:tcBorders>
            <w:shd w:val="clear" w:color="000000" w:fill="FCE4D6"/>
            <w:vAlign w:val="bottom"/>
            <w:hideMark/>
          </w:tcPr>
          <w:p w14:paraId="0E5EB8DF"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single" w:sz="4" w:space="0" w:color="C0C0C0"/>
              <w:right w:val="single" w:sz="4" w:space="0" w:color="C0C0C0"/>
            </w:tcBorders>
            <w:shd w:val="clear" w:color="000000" w:fill="FCE4D6"/>
            <w:vAlign w:val="bottom"/>
            <w:hideMark/>
          </w:tcPr>
          <w:p w14:paraId="62E6EAA6"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single" w:sz="4" w:space="0" w:color="C0C0C0"/>
              <w:right w:val="single" w:sz="4" w:space="0" w:color="C0C0C0"/>
            </w:tcBorders>
            <w:shd w:val="clear" w:color="000000" w:fill="FCE4D6"/>
            <w:vAlign w:val="bottom"/>
            <w:hideMark/>
          </w:tcPr>
          <w:p w14:paraId="4FC4BF84"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single" w:sz="4" w:space="0" w:color="C0C0C0"/>
              <w:right w:val="single" w:sz="4" w:space="0" w:color="C0C0C0"/>
            </w:tcBorders>
            <w:shd w:val="clear" w:color="000000" w:fill="FCE4D6"/>
            <w:vAlign w:val="bottom"/>
            <w:hideMark/>
          </w:tcPr>
          <w:p w14:paraId="49F4034B" w14:textId="77777777" w:rsidR="00153816" w:rsidRPr="00EE05AA" w:rsidRDefault="00153816" w:rsidP="006B1E56">
            <w:pPr>
              <w:jc w:val="right"/>
              <w:rPr>
                <w:rFonts w:asciiTheme="majorHAnsi" w:hAnsiTheme="majorHAnsi"/>
              </w:rPr>
            </w:pPr>
            <w:r w:rsidRPr="00EE05AA">
              <w:rPr>
                <w:rFonts w:asciiTheme="majorHAnsi" w:hAnsiTheme="majorHAnsi"/>
              </w:rPr>
              <w:t>5</w:t>
            </w:r>
          </w:p>
        </w:tc>
        <w:tc>
          <w:tcPr>
            <w:tcW w:w="1134" w:type="dxa"/>
            <w:tcBorders>
              <w:top w:val="nil"/>
              <w:left w:val="nil"/>
              <w:bottom w:val="nil"/>
              <w:right w:val="nil"/>
            </w:tcBorders>
            <w:shd w:val="clear" w:color="000000" w:fill="FCE4D6"/>
            <w:noWrap/>
            <w:vAlign w:val="bottom"/>
            <w:hideMark/>
          </w:tcPr>
          <w:p w14:paraId="312F3401"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FEA3A49" w14:textId="77777777" w:rsidTr="0080697E">
        <w:trPr>
          <w:trHeight w:val="540"/>
        </w:trPr>
        <w:tc>
          <w:tcPr>
            <w:tcW w:w="1715" w:type="dxa"/>
            <w:tcBorders>
              <w:top w:val="nil"/>
              <w:left w:val="nil"/>
              <w:bottom w:val="nil"/>
              <w:right w:val="nil"/>
            </w:tcBorders>
            <w:shd w:val="clear" w:color="000000" w:fill="FCE4D6"/>
            <w:vAlign w:val="bottom"/>
            <w:hideMark/>
          </w:tcPr>
          <w:p w14:paraId="210AA783"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nil"/>
              <w:right w:val="nil"/>
            </w:tcBorders>
            <w:shd w:val="clear" w:color="000000" w:fill="FCE4D6"/>
            <w:vAlign w:val="bottom"/>
            <w:hideMark/>
          </w:tcPr>
          <w:p w14:paraId="30C9120D"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FCE4D6"/>
            <w:vAlign w:val="bottom"/>
            <w:hideMark/>
          </w:tcPr>
          <w:p w14:paraId="2CC63ED0"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FCE4D6"/>
            <w:vAlign w:val="bottom"/>
            <w:hideMark/>
          </w:tcPr>
          <w:p w14:paraId="4C646CFB"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nil"/>
              <w:right w:val="nil"/>
            </w:tcBorders>
            <w:shd w:val="clear" w:color="000000" w:fill="FCE4D6"/>
            <w:vAlign w:val="bottom"/>
            <w:hideMark/>
          </w:tcPr>
          <w:p w14:paraId="43B5B499"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FCE4D6"/>
            <w:noWrap/>
            <w:vAlign w:val="bottom"/>
            <w:hideMark/>
          </w:tcPr>
          <w:p w14:paraId="2CDE1C23"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C2602BD" w14:textId="77777777" w:rsidTr="0080697E">
        <w:trPr>
          <w:trHeight w:val="540"/>
        </w:trPr>
        <w:tc>
          <w:tcPr>
            <w:tcW w:w="1715" w:type="dxa"/>
            <w:tcBorders>
              <w:top w:val="nil"/>
              <w:left w:val="nil"/>
              <w:bottom w:val="nil"/>
              <w:right w:val="nil"/>
            </w:tcBorders>
            <w:shd w:val="clear" w:color="000000" w:fill="FCE4D6"/>
            <w:vAlign w:val="bottom"/>
            <w:hideMark/>
          </w:tcPr>
          <w:p w14:paraId="37CAFEFA"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nil"/>
              <w:right w:val="nil"/>
            </w:tcBorders>
            <w:shd w:val="clear" w:color="000000" w:fill="FCE4D6"/>
            <w:vAlign w:val="bottom"/>
            <w:hideMark/>
          </w:tcPr>
          <w:p w14:paraId="01A48B59"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FCE4D6"/>
            <w:vAlign w:val="bottom"/>
            <w:hideMark/>
          </w:tcPr>
          <w:p w14:paraId="20829699"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FCE4D6"/>
            <w:vAlign w:val="bottom"/>
            <w:hideMark/>
          </w:tcPr>
          <w:p w14:paraId="4CD82713" w14:textId="77777777" w:rsidR="00153816" w:rsidRPr="00EE05AA" w:rsidRDefault="00153816" w:rsidP="006B1E56">
            <w:pPr>
              <w:rPr>
                <w:rFonts w:asciiTheme="majorHAnsi" w:hAnsiTheme="majorHAnsi"/>
              </w:rPr>
            </w:pPr>
            <w:r w:rsidRPr="00EE05AA">
              <w:rPr>
                <w:rFonts w:asciiTheme="majorHAnsi" w:hAnsiTheme="majorHAnsi"/>
              </w:rPr>
              <w:t>Other</w:t>
            </w:r>
          </w:p>
        </w:tc>
        <w:tc>
          <w:tcPr>
            <w:tcW w:w="2080" w:type="dxa"/>
            <w:tcBorders>
              <w:top w:val="nil"/>
              <w:left w:val="nil"/>
              <w:bottom w:val="nil"/>
              <w:right w:val="nil"/>
            </w:tcBorders>
            <w:shd w:val="clear" w:color="000000" w:fill="FCE4D6"/>
            <w:vAlign w:val="bottom"/>
            <w:hideMark/>
          </w:tcPr>
          <w:p w14:paraId="1B5FF1CA" w14:textId="77777777" w:rsidR="00153816" w:rsidRPr="00EE05AA" w:rsidRDefault="00153816" w:rsidP="006B1E56">
            <w:pPr>
              <w:jc w:val="right"/>
              <w:rPr>
                <w:rFonts w:asciiTheme="majorHAnsi" w:hAnsiTheme="majorHAnsi"/>
              </w:rPr>
            </w:pPr>
            <w:r w:rsidRPr="00EE05AA">
              <w:rPr>
                <w:rFonts w:asciiTheme="majorHAnsi" w:hAnsiTheme="majorHAnsi"/>
              </w:rPr>
              <w:t>3</w:t>
            </w:r>
          </w:p>
        </w:tc>
        <w:tc>
          <w:tcPr>
            <w:tcW w:w="1134" w:type="dxa"/>
            <w:tcBorders>
              <w:top w:val="nil"/>
              <w:left w:val="nil"/>
              <w:bottom w:val="nil"/>
              <w:right w:val="nil"/>
            </w:tcBorders>
            <w:shd w:val="clear" w:color="000000" w:fill="FCE4D6"/>
            <w:noWrap/>
            <w:vAlign w:val="bottom"/>
            <w:hideMark/>
          </w:tcPr>
          <w:p w14:paraId="4ACB8123"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0678C68" w14:textId="77777777" w:rsidTr="0080697E">
        <w:trPr>
          <w:trHeight w:val="540"/>
        </w:trPr>
        <w:tc>
          <w:tcPr>
            <w:tcW w:w="1715" w:type="dxa"/>
            <w:tcBorders>
              <w:top w:val="nil"/>
              <w:left w:val="nil"/>
              <w:bottom w:val="nil"/>
              <w:right w:val="nil"/>
            </w:tcBorders>
            <w:shd w:val="clear" w:color="000000" w:fill="FCE4D6"/>
            <w:vAlign w:val="bottom"/>
            <w:hideMark/>
          </w:tcPr>
          <w:p w14:paraId="5944037F" w14:textId="77777777" w:rsidR="00153816" w:rsidRPr="00EE05AA" w:rsidRDefault="00153816" w:rsidP="006B1E56">
            <w:pPr>
              <w:rPr>
                <w:rFonts w:asciiTheme="majorHAnsi" w:hAnsiTheme="majorHAnsi"/>
              </w:rPr>
            </w:pPr>
            <w:r w:rsidRPr="00EE05AA">
              <w:rPr>
                <w:rFonts w:asciiTheme="majorHAnsi" w:hAnsiTheme="majorHAnsi"/>
              </w:rPr>
              <w:lastRenderedPageBreak/>
              <w:t>2016-17</w:t>
            </w:r>
          </w:p>
        </w:tc>
        <w:tc>
          <w:tcPr>
            <w:tcW w:w="1107" w:type="dxa"/>
            <w:tcBorders>
              <w:top w:val="nil"/>
              <w:left w:val="nil"/>
              <w:bottom w:val="nil"/>
              <w:right w:val="nil"/>
            </w:tcBorders>
            <w:shd w:val="clear" w:color="000000" w:fill="FCE4D6"/>
            <w:vAlign w:val="bottom"/>
            <w:hideMark/>
          </w:tcPr>
          <w:p w14:paraId="2146FC46"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FCE4D6"/>
            <w:vAlign w:val="bottom"/>
            <w:hideMark/>
          </w:tcPr>
          <w:p w14:paraId="3B48DACD"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FCE4D6"/>
            <w:vAlign w:val="bottom"/>
            <w:hideMark/>
          </w:tcPr>
          <w:p w14:paraId="74FECE59"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nil"/>
              <w:right w:val="nil"/>
            </w:tcBorders>
            <w:shd w:val="clear" w:color="000000" w:fill="FCE4D6"/>
            <w:vAlign w:val="bottom"/>
            <w:hideMark/>
          </w:tcPr>
          <w:p w14:paraId="6E3F3167"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FCE4D6"/>
            <w:noWrap/>
            <w:vAlign w:val="bottom"/>
            <w:hideMark/>
          </w:tcPr>
          <w:p w14:paraId="09572D0A"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4DB68948" w14:textId="77777777" w:rsidTr="0080697E">
        <w:trPr>
          <w:trHeight w:val="540"/>
        </w:trPr>
        <w:tc>
          <w:tcPr>
            <w:tcW w:w="1715" w:type="dxa"/>
            <w:tcBorders>
              <w:top w:val="nil"/>
              <w:left w:val="nil"/>
              <w:bottom w:val="nil"/>
              <w:right w:val="nil"/>
            </w:tcBorders>
            <w:shd w:val="clear" w:color="000000" w:fill="FCE4D6"/>
            <w:vAlign w:val="bottom"/>
            <w:hideMark/>
          </w:tcPr>
          <w:p w14:paraId="4F825F53" w14:textId="77777777" w:rsidR="00153816" w:rsidRPr="00EE05AA" w:rsidRDefault="00153816" w:rsidP="006B1E56">
            <w:pPr>
              <w:rPr>
                <w:rFonts w:asciiTheme="majorHAnsi" w:hAnsiTheme="majorHAnsi"/>
              </w:rPr>
            </w:pPr>
            <w:r w:rsidRPr="00EE05AA">
              <w:rPr>
                <w:rFonts w:asciiTheme="majorHAnsi" w:hAnsiTheme="majorHAnsi"/>
              </w:rPr>
              <w:t>2016-17</w:t>
            </w:r>
          </w:p>
        </w:tc>
        <w:tc>
          <w:tcPr>
            <w:tcW w:w="1107" w:type="dxa"/>
            <w:tcBorders>
              <w:top w:val="nil"/>
              <w:left w:val="nil"/>
              <w:bottom w:val="nil"/>
              <w:right w:val="nil"/>
            </w:tcBorders>
            <w:shd w:val="clear" w:color="000000" w:fill="FCE4D6"/>
            <w:vAlign w:val="bottom"/>
            <w:hideMark/>
          </w:tcPr>
          <w:p w14:paraId="578FE292"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FCE4D6"/>
            <w:vAlign w:val="bottom"/>
            <w:hideMark/>
          </w:tcPr>
          <w:p w14:paraId="45F3D8B3"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FCE4D6"/>
            <w:vAlign w:val="bottom"/>
            <w:hideMark/>
          </w:tcPr>
          <w:p w14:paraId="36CD26D1"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nil"/>
              <w:right w:val="nil"/>
            </w:tcBorders>
            <w:shd w:val="clear" w:color="000000" w:fill="FCE4D6"/>
            <w:vAlign w:val="bottom"/>
            <w:hideMark/>
          </w:tcPr>
          <w:p w14:paraId="7756E6F4" w14:textId="77777777" w:rsidR="00153816" w:rsidRPr="00EE05AA" w:rsidRDefault="00153816" w:rsidP="006B1E56">
            <w:pPr>
              <w:jc w:val="right"/>
              <w:rPr>
                <w:rFonts w:asciiTheme="majorHAnsi" w:hAnsiTheme="majorHAnsi"/>
              </w:rPr>
            </w:pPr>
            <w:r w:rsidRPr="00EE05AA">
              <w:rPr>
                <w:rFonts w:asciiTheme="majorHAnsi" w:hAnsiTheme="majorHAnsi"/>
              </w:rPr>
              <w:t>34</w:t>
            </w:r>
          </w:p>
        </w:tc>
        <w:tc>
          <w:tcPr>
            <w:tcW w:w="1134" w:type="dxa"/>
            <w:tcBorders>
              <w:top w:val="nil"/>
              <w:left w:val="nil"/>
              <w:bottom w:val="nil"/>
              <w:right w:val="nil"/>
            </w:tcBorders>
            <w:shd w:val="clear" w:color="000000" w:fill="FCE4D6"/>
            <w:noWrap/>
            <w:vAlign w:val="bottom"/>
            <w:hideMark/>
          </w:tcPr>
          <w:p w14:paraId="5BE72656" w14:textId="77777777" w:rsidR="00153816" w:rsidRPr="00EE05AA" w:rsidRDefault="00153816" w:rsidP="006B1E56">
            <w:pPr>
              <w:jc w:val="right"/>
              <w:rPr>
                <w:rFonts w:asciiTheme="majorHAnsi" w:hAnsiTheme="majorHAnsi"/>
              </w:rPr>
            </w:pPr>
            <w:r w:rsidRPr="00EE05AA">
              <w:rPr>
                <w:rFonts w:asciiTheme="majorHAnsi" w:hAnsiTheme="majorHAnsi"/>
              </w:rPr>
              <w:t>49</w:t>
            </w:r>
          </w:p>
        </w:tc>
      </w:tr>
      <w:tr w:rsidR="00153816" w:rsidRPr="00EE05AA" w14:paraId="76CA028B" w14:textId="77777777" w:rsidTr="0080697E">
        <w:trPr>
          <w:trHeight w:val="320"/>
        </w:trPr>
        <w:tc>
          <w:tcPr>
            <w:tcW w:w="1715" w:type="dxa"/>
            <w:tcBorders>
              <w:top w:val="nil"/>
              <w:left w:val="nil"/>
              <w:bottom w:val="nil"/>
              <w:right w:val="nil"/>
            </w:tcBorders>
            <w:shd w:val="clear" w:color="000000" w:fill="D9D9D9"/>
            <w:noWrap/>
            <w:vAlign w:val="bottom"/>
            <w:hideMark/>
          </w:tcPr>
          <w:p w14:paraId="6EBD7967" w14:textId="77777777" w:rsidR="00153816" w:rsidRPr="00EE05AA" w:rsidRDefault="00153816" w:rsidP="006B1E56">
            <w:pPr>
              <w:rPr>
                <w:rFonts w:asciiTheme="majorHAnsi" w:hAnsiTheme="majorHAnsi"/>
              </w:rPr>
            </w:pPr>
            <w:r w:rsidRPr="00EE05AA">
              <w:rPr>
                <w:rFonts w:asciiTheme="majorHAnsi" w:hAnsiTheme="majorHAnsi"/>
              </w:rPr>
              <w:t>2017-18</w:t>
            </w:r>
          </w:p>
        </w:tc>
        <w:tc>
          <w:tcPr>
            <w:tcW w:w="1107" w:type="dxa"/>
            <w:tcBorders>
              <w:top w:val="nil"/>
              <w:left w:val="nil"/>
              <w:bottom w:val="nil"/>
              <w:right w:val="nil"/>
            </w:tcBorders>
            <w:shd w:val="clear" w:color="000000" w:fill="D9D9D9"/>
            <w:noWrap/>
            <w:vAlign w:val="bottom"/>
            <w:hideMark/>
          </w:tcPr>
          <w:p w14:paraId="75E753FC"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D9D9D9"/>
            <w:noWrap/>
            <w:vAlign w:val="bottom"/>
            <w:hideMark/>
          </w:tcPr>
          <w:p w14:paraId="468DD638"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D9D9D9"/>
            <w:noWrap/>
            <w:vAlign w:val="bottom"/>
            <w:hideMark/>
          </w:tcPr>
          <w:p w14:paraId="4A5FFCEF"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nil"/>
              <w:right w:val="nil"/>
            </w:tcBorders>
            <w:shd w:val="clear" w:color="000000" w:fill="D9D9D9"/>
            <w:noWrap/>
            <w:vAlign w:val="bottom"/>
            <w:hideMark/>
          </w:tcPr>
          <w:p w14:paraId="5F772774" w14:textId="77777777" w:rsidR="00153816" w:rsidRPr="00EE05AA" w:rsidRDefault="00153816" w:rsidP="006B1E56">
            <w:pPr>
              <w:jc w:val="right"/>
              <w:rPr>
                <w:rFonts w:asciiTheme="majorHAnsi" w:hAnsiTheme="majorHAnsi"/>
              </w:rPr>
            </w:pPr>
            <w:r w:rsidRPr="00EE05AA">
              <w:rPr>
                <w:rFonts w:asciiTheme="majorHAnsi" w:hAnsiTheme="majorHAnsi"/>
              </w:rPr>
              <w:t>3</w:t>
            </w:r>
          </w:p>
        </w:tc>
        <w:tc>
          <w:tcPr>
            <w:tcW w:w="1134" w:type="dxa"/>
            <w:tcBorders>
              <w:top w:val="nil"/>
              <w:left w:val="nil"/>
              <w:bottom w:val="nil"/>
              <w:right w:val="nil"/>
            </w:tcBorders>
            <w:shd w:val="clear" w:color="000000" w:fill="D9D9D9"/>
            <w:noWrap/>
            <w:vAlign w:val="bottom"/>
            <w:hideMark/>
          </w:tcPr>
          <w:p w14:paraId="793163AE"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15DB9465" w14:textId="77777777" w:rsidTr="0080697E">
        <w:trPr>
          <w:trHeight w:val="320"/>
        </w:trPr>
        <w:tc>
          <w:tcPr>
            <w:tcW w:w="1715" w:type="dxa"/>
            <w:tcBorders>
              <w:top w:val="nil"/>
              <w:left w:val="nil"/>
              <w:bottom w:val="nil"/>
              <w:right w:val="nil"/>
            </w:tcBorders>
            <w:shd w:val="clear" w:color="000000" w:fill="D9D9D9"/>
            <w:noWrap/>
            <w:vAlign w:val="bottom"/>
            <w:hideMark/>
          </w:tcPr>
          <w:p w14:paraId="3ED083E9" w14:textId="77777777" w:rsidR="00153816" w:rsidRPr="00EE05AA" w:rsidRDefault="00153816" w:rsidP="006B1E56">
            <w:pPr>
              <w:rPr>
                <w:rFonts w:asciiTheme="majorHAnsi" w:hAnsiTheme="majorHAnsi"/>
              </w:rPr>
            </w:pPr>
            <w:r w:rsidRPr="00EE05AA">
              <w:rPr>
                <w:rFonts w:asciiTheme="majorHAnsi" w:hAnsiTheme="majorHAnsi"/>
              </w:rPr>
              <w:t>2017-18</w:t>
            </w:r>
          </w:p>
        </w:tc>
        <w:tc>
          <w:tcPr>
            <w:tcW w:w="1107" w:type="dxa"/>
            <w:tcBorders>
              <w:top w:val="nil"/>
              <w:left w:val="nil"/>
              <w:bottom w:val="nil"/>
              <w:right w:val="nil"/>
            </w:tcBorders>
            <w:shd w:val="clear" w:color="000000" w:fill="D9D9D9"/>
            <w:noWrap/>
            <w:vAlign w:val="bottom"/>
            <w:hideMark/>
          </w:tcPr>
          <w:p w14:paraId="60614D65"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D9D9D9"/>
            <w:noWrap/>
            <w:vAlign w:val="bottom"/>
            <w:hideMark/>
          </w:tcPr>
          <w:p w14:paraId="0FE30E09"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D9D9D9"/>
            <w:noWrap/>
            <w:vAlign w:val="bottom"/>
            <w:hideMark/>
          </w:tcPr>
          <w:p w14:paraId="149E29CB"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nil"/>
              <w:right w:val="nil"/>
            </w:tcBorders>
            <w:shd w:val="clear" w:color="000000" w:fill="D9D9D9"/>
            <w:noWrap/>
            <w:vAlign w:val="bottom"/>
            <w:hideMark/>
          </w:tcPr>
          <w:p w14:paraId="12B5FEE8" w14:textId="77777777" w:rsidR="00153816" w:rsidRPr="00EE05AA" w:rsidRDefault="00153816" w:rsidP="006B1E56">
            <w:pPr>
              <w:jc w:val="right"/>
              <w:rPr>
                <w:rFonts w:asciiTheme="majorHAnsi" w:hAnsiTheme="majorHAnsi"/>
              </w:rPr>
            </w:pPr>
            <w:r w:rsidRPr="00EE05AA">
              <w:rPr>
                <w:rFonts w:asciiTheme="majorHAnsi" w:hAnsiTheme="majorHAnsi"/>
              </w:rPr>
              <w:t>6</w:t>
            </w:r>
          </w:p>
        </w:tc>
        <w:tc>
          <w:tcPr>
            <w:tcW w:w="1134" w:type="dxa"/>
            <w:tcBorders>
              <w:top w:val="nil"/>
              <w:left w:val="nil"/>
              <w:bottom w:val="nil"/>
              <w:right w:val="nil"/>
            </w:tcBorders>
            <w:shd w:val="clear" w:color="000000" w:fill="D9D9D9"/>
            <w:noWrap/>
            <w:vAlign w:val="bottom"/>
            <w:hideMark/>
          </w:tcPr>
          <w:p w14:paraId="6B00B98F"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71E7070F" w14:textId="77777777" w:rsidTr="0080697E">
        <w:trPr>
          <w:trHeight w:val="320"/>
        </w:trPr>
        <w:tc>
          <w:tcPr>
            <w:tcW w:w="1715" w:type="dxa"/>
            <w:tcBorders>
              <w:top w:val="nil"/>
              <w:left w:val="nil"/>
              <w:bottom w:val="nil"/>
              <w:right w:val="nil"/>
            </w:tcBorders>
            <w:shd w:val="clear" w:color="000000" w:fill="D9D9D9"/>
            <w:noWrap/>
            <w:vAlign w:val="bottom"/>
            <w:hideMark/>
          </w:tcPr>
          <w:p w14:paraId="23D89A78" w14:textId="77777777" w:rsidR="00153816" w:rsidRPr="00EE05AA" w:rsidRDefault="00153816" w:rsidP="006B1E56">
            <w:pPr>
              <w:rPr>
                <w:rFonts w:asciiTheme="majorHAnsi" w:hAnsiTheme="majorHAnsi"/>
              </w:rPr>
            </w:pPr>
            <w:r w:rsidRPr="00EE05AA">
              <w:rPr>
                <w:rFonts w:asciiTheme="majorHAnsi" w:hAnsiTheme="majorHAnsi"/>
              </w:rPr>
              <w:t>2017-18</w:t>
            </w:r>
          </w:p>
        </w:tc>
        <w:tc>
          <w:tcPr>
            <w:tcW w:w="1107" w:type="dxa"/>
            <w:tcBorders>
              <w:top w:val="nil"/>
              <w:left w:val="nil"/>
              <w:bottom w:val="nil"/>
              <w:right w:val="nil"/>
            </w:tcBorders>
            <w:shd w:val="clear" w:color="000000" w:fill="D9D9D9"/>
            <w:noWrap/>
            <w:vAlign w:val="bottom"/>
            <w:hideMark/>
          </w:tcPr>
          <w:p w14:paraId="47AAB4C7"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D9D9D9"/>
            <w:noWrap/>
            <w:vAlign w:val="bottom"/>
            <w:hideMark/>
          </w:tcPr>
          <w:p w14:paraId="7AE5FF32"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D9D9D9"/>
            <w:noWrap/>
            <w:vAlign w:val="bottom"/>
            <w:hideMark/>
          </w:tcPr>
          <w:p w14:paraId="647C1740" w14:textId="77777777" w:rsidR="00153816" w:rsidRPr="00EE05AA" w:rsidRDefault="00153816" w:rsidP="006B1E56">
            <w:pPr>
              <w:rPr>
                <w:rFonts w:asciiTheme="majorHAnsi" w:hAnsiTheme="majorHAnsi"/>
              </w:rPr>
            </w:pPr>
            <w:r w:rsidRPr="00EE05AA">
              <w:rPr>
                <w:rFonts w:asciiTheme="majorHAnsi" w:hAnsiTheme="majorHAnsi"/>
              </w:rPr>
              <w:t>Other</w:t>
            </w:r>
          </w:p>
        </w:tc>
        <w:tc>
          <w:tcPr>
            <w:tcW w:w="2080" w:type="dxa"/>
            <w:tcBorders>
              <w:top w:val="nil"/>
              <w:left w:val="nil"/>
              <w:bottom w:val="nil"/>
              <w:right w:val="nil"/>
            </w:tcBorders>
            <w:shd w:val="clear" w:color="000000" w:fill="D9D9D9"/>
            <w:noWrap/>
            <w:vAlign w:val="bottom"/>
            <w:hideMark/>
          </w:tcPr>
          <w:p w14:paraId="0794D648" w14:textId="77777777" w:rsidR="00153816" w:rsidRPr="00EE05AA" w:rsidRDefault="00153816" w:rsidP="006B1E56">
            <w:pPr>
              <w:jc w:val="right"/>
              <w:rPr>
                <w:rFonts w:asciiTheme="majorHAnsi" w:hAnsiTheme="majorHAnsi"/>
              </w:rPr>
            </w:pPr>
            <w:r w:rsidRPr="00EE05AA">
              <w:rPr>
                <w:rFonts w:asciiTheme="majorHAnsi" w:hAnsiTheme="majorHAnsi"/>
              </w:rPr>
              <w:t>3</w:t>
            </w:r>
          </w:p>
        </w:tc>
        <w:tc>
          <w:tcPr>
            <w:tcW w:w="1134" w:type="dxa"/>
            <w:tcBorders>
              <w:top w:val="nil"/>
              <w:left w:val="nil"/>
              <w:bottom w:val="nil"/>
              <w:right w:val="nil"/>
            </w:tcBorders>
            <w:shd w:val="clear" w:color="000000" w:fill="D9D9D9"/>
            <w:noWrap/>
            <w:vAlign w:val="bottom"/>
            <w:hideMark/>
          </w:tcPr>
          <w:p w14:paraId="73ED4E70"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0076075E" w14:textId="77777777" w:rsidTr="0080697E">
        <w:trPr>
          <w:trHeight w:val="320"/>
        </w:trPr>
        <w:tc>
          <w:tcPr>
            <w:tcW w:w="1715" w:type="dxa"/>
            <w:tcBorders>
              <w:top w:val="nil"/>
              <w:left w:val="nil"/>
              <w:bottom w:val="nil"/>
              <w:right w:val="nil"/>
            </w:tcBorders>
            <w:shd w:val="clear" w:color="000000" w:fill="D9D9D9"/>
            <w:noWrap/>
            <w:vAlign w:val="bottom"/>
            <w:hideMark/>
          </w:tcPr>
          <w:p w14:paraId="4706CBB3" w14:textId="77777777" w:rsidR="00153816" w:rsidRPr="00EE05AA" w:rsidRDefault="00153816" w:rsidP="006B1E56">
            <w:pPr>
              <w:rPr>
                <w:rFonts w:asciiTheme="majorHAnsi" w:hAnsiTheme="majorHAnsi"/>
              </w:rPr>
            </w:pPr>
            <w:r w:rsidRPr="00EE05AA">
              <w:rPr>
                <w:rFonts w:asciiTheme="majorHAnsi" w:hAnsiTheme="majorHAnsi"/>
              </w:rPr>
              <w:t>2017-18</w:t>
            </w:r>
          </w:p>
        </w:tc>
        <w:tc>
          <w:tcPr>
            <w:tcW w:w="1107" w:type="dxa"/>
            <w:tcBorders>
              <w:top w:val="nil"/>
              <w:left w:val="nil"/>
              <w:bottom w:val="nil"/>
              <w:right w:val="nil"/>
            </w:tcBorders>
            <w:shd w:val="clear" w:color="000000" w:fill="D9D9D9"/>
            <w:noWrap/>
            <w:vAlign w:val="bottom"/>
            <w:hideMark/>
          </w:tcPr>
          <w:p w14:paraId="6AC1789A"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D9D9D9"/>
            <w:noWrap/>
            <w:vAlign w:val="bottom"/>
            <w:hideMark/>
          </w:tcPr>
          <w:p w14:paraId="1B3C9F56"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D9D9D9"/>
            <w:noWrap/>
            <w:vAlign w:val="bottom"/>
            <w:hideMark/>
          </w:tcPr>
          <w:p w14:paraId="7FB97596"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nil"/>
              <w:right w:val="nil"/>
            </w:tcBorders>
            <w:shd w:val="clear" w:color="000000" w:fill="D9D9D9"/>
            <w:noWrap/>
            <w:vAlign w:val="bottom"/>
            <w:hideMark/>
          </w:tcPr>
          <w:p w14:paraId="08E10969" w14:textId="77777777" w:rsidR="00153816" w:rsidRPr="00EE05AA" w:rsidRDefault="00153816" w:rsidP="006B1E56">
            <w:pPr>
              <w:jc w:val="right"/>
              <w:rPr>
                <w:rFonts w:asciiTheme="majorHAnsi" w:hAnsiTheme="majorHAnsi"/>
              </w:rPr>
            </w:pPr>
            <w:r w:rsidRPr="00EE05AA">
              <w:rPr>
                <w:rFonts w:asciiTheme="majorHAnsi" w:hAnsiTheme="majorHAnsi"/>
              </w:rPr>
              <w:t>30</w:t>
            </w:r>
          </w:p>
        </w:tc>
        <w:tc>
          <w:tcPr>
            <w:tcW w:w="1134" w:type="dxa"/>
            <w:tcBorders>
              <w:top w:val="nil"/>
              <w:left w:val="nil"/>
              <w:bottom w:val="nil"/>
              <w:right w:val="nil"/>
            </w:tcBorders>
            <w:shd w:val="clear" w:color="000000" w:fill="D9D9D9"/>
            <w:noWrap/>
            <w:vAlign w:val="bottom"/>
            <w:hideMark/>
          </w:tcPr>
          <w:p w14:paraId="3C32B5D2" w14:textId="77777777" w:rsidR="00153816" w:rsidRPr="00EE05AA" w:rsidRDefault="00153816" w:rsidP="006B1E56">
            <w:pPr>
              <w:jc w:val="right"/>
              <w:rPr>
                <w:rFonts w:asciiTheme="majorHAnsi" w:hAnsiTheme="majorHAnsi"/>
              </w:rPr>
            </w:pPr>
            <w:r w:rsidRPr="00EE05AA">
              <w:rPr>
                <w:rFonts w:asciiTheme="majorHAnsi" w:hAnsiTheme="majorHAnsi"/>
              </w:rPr>
              <w:t>42</w:t>
            </w:r>
          </w:p>
        </w:tc>
      </w:tr>
      <w:tr w:rsidR="00153816" w:rsidRPr="00EE05AA" w14:paraId="1A8AA708" w14:textId="77777777" w:rsidTr="0080697E">
        <w:trPr>
          <w:trHeight w:val="320"/>
        </w:trPr>
        <w:tc>
          <w:tcPr>
            <w:tcW w:w="1715" w:type="dxa"/>
            <w:tcBorders>
              <w:top w:val="nil"/>
              <w:left w:val="nil"/>
              <w:bottom w:val="nil"/>
              <w:right w:val="nil"/>
            </w:tcBorders>
            <w:shd w:val="clear" w:color="000000" w:fill="EFCDFF"/>
            <w:noWrap/>
            <w:vAlign w:val="bottom"/>
            <w:hideMark/>
          </w:tcPr>
          <w:p w14:paraId="4B055EF7"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nil"/>
              <w:right w:val="nil"/>
            </w:tcBorders>
            <w:shd w:val="clear" w:color="000000" w:fill="EFCDFF"/>
            <w:noWrap/>
            <w:vAlign w:val="bottom"/>
            <w:hideMark/>
          </w:tcPr>
          <w:p w14:paraId="2818FDF4"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EFCDFF"/>
            <w:noWrap/>
            <w:vAlign w:val="bottom"/>
            <w:hideMark/>
          </w:tcPr>
          <w:p w14:paraId="61D33EDF"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EFCDFF"/>
            <w:noWrap/>
            <w:vAlign w:val="bottom"/>
            <w:hideMark/>
          </w:tcPr>
          <w:p w14:paraId="001FEAED" w14:textId="77777777" w:rsidR="00153816" w:rsidRPr="00EE05AA" w:rsidRDefault="00153816" w:rsidP="006B1E56">
            <w:pPr>
              <w:rPr>
                <w:rFonts w:asciiTheme="majorHAnsi" w:hAnsiTheme="majorHAnsi"/>
              </w:rPr>
            </w:pPr>
            <w:r w:rsidRPr="00EE05AA">
              <w:rPr>
                <w:rFonts w:asciiTheme="majorHAnsi" w:hAnsiTheme="majorHAnsi"/>
              </w:rPr>
              <w:t>Asian</w:t>
            </w:r>
          </w:p>
        </w:tc>
        <w:tc>
          <w:tcPr>
            <w:tcW w:w="2080" w:type="dxa"/>
            <w:tcBorders>
              <w:top w:val="nil"/>
              <w:left w:val="nil"/>
              <w:bottom w:val="nil"/>
              <w:right w:val="nil"/>
            </w:tcBorders>
            <w:shd w:val="clear" w:color="000000" w:fill="EFCDFF"/>
            <w:noWrap/>
            <w:vAlign w:val="bottom"/>
            <w:hideMark/>
          </w:tcPr>
          <w:p w14:paraId="63842784"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EFCDFF"/>
            <w:noWrap/>
            <w:vAlign w:val="bottom"/>
            <w:hideMark/>
          </w:tcPr>
          <w:p w14:paraId="5FECCD3E"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3447CBFD" w14:textId="77777777" w:rsidTr="0080697E">
        <w:trPr>
          <w:trHeight w:val="320"/>
        </w:trPr>
        <w:tc>
          <w:tcPr>
            <w:tcW w:w="1715" w:type="dxa"/>
            <w:tcBorders>
              <w:top w:val="nil"/>
              <w:left w:val="nil"/>
              <w:bottom w:val="nil"/>
              <w:right w:val="nil"/>
            </w:tcBorders>
            <w:shd w:val="clear" w:color="000000" w:fill="EFCDFF"/>
            <w:noWrap/>
            <w:vAlign w:val="bottom"/>
            <w:hideMark/>
          </w:tcPr>
          <w:p w14:paraId="543699C6"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nil"/>
              <w:right w:val="nil"/>
            </w:tcBorders>
            <w:shd w:val="clear" w:color="000000" w:fill="EFCDFF"/>
            <w:noWrap/>
            <w:vAlign w:val="bottom"/>
            <w:hideMark/>
          </w:tcPr>
          <w:p w14:paraId="4DB61FCA"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EFCDFF"/>
            <w:noWrap/>
            <w:vAlign w:val="bottom"/>
            <w:hideMark/>
          </w:tcPr>
          <w:p w14:paraId="5EEE6092"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EFCDFF"/>
            <w:noWrap/>
            <w:vAlign w:val="bottom"/>
            <w:hideMark/>
          </w:tcPr>
          <w:p w14:paraId="79FBB939" w14:textId="77777777" w:rsidR="00153816" w:rsidRPr="00EE05AA" w:rsidRDefault="00153816" w:rsidP="006B1E56">
            <w:pPr>
              <w:rPr>
                <w:rFonts w:asciiTheme="majorHAnsi" w:hAnsiTheme="majorHAnsi"/>
              </w:rPr>
            </w:pPr>
            <w:r w:rsidRPr="00EE05AA">
              <w:rPr>
                <w:rFonts w:asciiTheme="majorHAnsi" w:hAnsiTheme="majorHAnsi"/>
              </w:rPr>
              <w:t>Black</w:t>
            </w:r>
          </w:p>
        </w:tc>
        <w:tc>
          <w:tcPr>
            <w:tcW w:w="2080" w:type="dxa"/>
            <w:tcBorders>
              <w:top w:val="nil"/>
              <w:left w:val="nil"/>
              <w:bottom w:val="nil"/>
              <w:right w:val="nil"/>
            </w:tcBorders>
            <w:shd w:val="clear" w:color="000000" w:fill="EFCDFF"/>
            <w:noWrap/>
            <w:vAlign w:val="bottom"/>
            <w:hideMark/>
          </w:tcPr>
          <w:p w14:paraId="48FDA708"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EFCDFF"/>
            <w:noWrap/>
            <w:vAlign w:val="bottom"/>
            <w:hideMark/>
          </w:tcPr>
          <w:p w14:paraId="45FDCA54"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220A3067" w14:textId="77777777" w:rsidTr="0080697E">
        <w:trPr>
          <w:trHeight w:val="320"/>
        </w:trPr>
        <w:tc>
          <w:tcPr>
            <w:tcW w:w="1715" w:type="dxa"/>
            <w:tcBorders>
              <w:top w:val="nil"/>
              <w:left w:val="nil"/>
              <w:bottom w:val="nil"/>
              <w:right w:val="nil"/>
            </w:tcBorders>
            <w:shd w:val="clear" w:color="000000" w:fill="EFCDFF"/>
            <w:noWrap/>
            <w:vAlign w:val="bottom"/>
            <w:hideMark/>
          </w:tcPr>
          <w:p w14:paraId="416969B9"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nil"/>
              <w:right w:val="nil"/>
            </w:tcBorders>
            <w:shd w:val="clear" w:color="000000" w:fill="EFCDFF"/>
            <w:noWrap/>
            <w:vAlign w:val="bottom"/>
            <w:hideMark/>
          </w:tcPr>
          <w:p w14:paraId="0409BC9F"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EFCDFF"/>
            <w:noWrap/>
            <w:vAlign w:val="bottom"/>
            <w:hideMark/>
          </w:tcPr>
          <w:p w14:paraId="0495CE25"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EFCDFF"/>
            <w:noWrap/>
            <w:vAlign w:val="bottom"/>
            <w:hideMark/>
          </w:tcPr>
          <w:p w14:paraId="021225A1" w14:textId="77777777" w:rsidR="00153816" w:rsidRPr="00EE05AA" w:rsidRDefault="00153816" w:rsidP="006B1E56">
            <w:pPr>
              <w:rPr>
                <w:rFonts w:asciiTheme="majorHAnsi" w:hAnsiTheme="majorHAnsi"/>
              </w:rPr>
            </w:pPr>
            <w:r w:rsidRPr="00EE05AA">
              <w:rPr>
                <w:rFonts w:asciiTheme="majorHAnsi" w:hAnsiTheme="majorHAnsi"/>
              </w:rPr>
              <w:t>Mixed</w:t>
            </w:r>
          </w:p>
        </w:tc>
        <w:tc>
          <w:tcPr>
            <w:tcW w:w="2080" w:type="dxa"/>
            <w:tcBorders>
              <w:top w:val="nil"/>
              <w:left w:val="nil"/>
              <w:bottom w:val="nil"/>
              <w:right w:val="nil"/>
            </w:tcBorders>
            <w:shd w:val="clear" w:color="000000" w:fill="EFCDFF"/>
            <w:noWrap/>
            <w:vAlign w:val="bottom"/>
            <w:hideMark/>
          </w:tcPr>
          <w:p w14:paraId="0D3A5035" w14:textId="77777777" w:rsidR="00153816" w:rsidRPr="00EE05AA" w:rsidRDefault="00153816" w:rsidP="006B1E56">
            <w:pPr>
              <w:jc w:val="right"/>
              <w:rPr>
                <w:rFonts w:asciiTheme="majorHAnsi" w:hAnsiTheme="majorHAnsi"/>
              </w:rPr>
            </w:pPr>
            <w:r w:rsidRPr="00EE05AA">
              <w:rPr>
                <w:rFonts w:asciiTheme="majorHAnsi" w:hAnsiTheme="majorHAnsi"/>
              </w:rPr>
              <w:t>3</w:t>
            </w:r>
          </w:p>
        </w:tc>
        <w:tc>
          <w:tcPr>
            <w:tcW w:w="1134" w:type="dxa"/>
            <w:tcBorders>
              <w:top w:val="nil"/>
              <w:left w:val="nil"/>
              <w:bottom w:val="nil"/>
              <w:right w:val="nil"/>
            </w:tcBorders>
            <w:shd w:val="clear" w:color="000000" w:fill="EFCDFF"/>
            <w:noWrap/>
            <w:vAlign w:val="bottom"/>
            <w:hideMark/>
          </w:tcPr>
          <w:p w14:paraId="1123B602"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51EC9D50" w14:textId="77777777" w:rsidTr="0080697E">
        <w:trPr>
          <w:trHeight w:val="320"/>
        </w:trPr>
        <w:tc>
          <w:tcPr>
            <w:tcW w:w="1715" w:type="dxa"/>
            <w:tcBorders>
              <w:top w:val="nil"/>
              <w:left w:val="nil"/>
              <w:bottom w:val="nil"/>
              <w:right w:val="nil"/>
            </w:tcBorders>
            <w:shd w:val="clear" w:color="000000" w:fill="EFCDFF"/>
            <w:noWrap/>
            <w:vAlign w:val="bottom"/>
            <w:hideMark/>
          </w:tcPr>
          <w:p w14:paraId="7BEFA729"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nil"/>
              <w:right w:val="nil"/>
            </w:tcBorders>
            <w:shd w:val="clear" w:color="000000" w:fill="EFCDFF"/>
            <w:noWrap/>
            <w:vAlign w:val="bottom"/>
            <w:hideMark/>
          </w:tcPr>
          <w:p w14:paraId="33ECB9E2"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EFCDFF"/>
            <w:noWrap/>
            <w:vAlign w:val="bottom"/>
            <w:hideMark/>
          </w:tcPr>
          <w:p w14:paraId="1BA3D737"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EFCDFF"/>
            <w:noWrap/>
            <w:vAlign w:val="bottom"/>
            <w:hideMark/>
          </w:tcPr>
          <w:p w14:paraId="778410B9" w14:textId="77777777" w:rsidR="00153816" w:rsidRPr="00EE05AA" w:rsidRDefault="00153816" w:rsidP="006B1E56">
            <w:pPr>
              <w:rPr>
                <w:rFonts w:asciiTheme="majorHAnsi" w:hAnsiTheme="majorHAnsi"/>
              </w:rPr>
            </w:pPr>
            <w:r w:rsidRPr="00EE05AA">
              <w:rPr>
                <w:rFonts w:asciiTheme="majorHAnsi" w:hAnsiTheme="majorHAnsi"/>
              </w:rPr>
              <w:t>Other</w:t>
            </w:r>
          </w:p>
        </w:tc>
        <w:tc>
          <w:tcPr>
            <w:tcW w:w="2080" w:type="dxa"/>
            <w:tcBorders>
              <w:top w:val="nil"/>
              <w:left w:val="nil"/>
              <w:bottom w:val="nil"/>
              <w:right w:val="nil"/>
            </w:tcBorders>
            <w:shd w:val="clear" w:color="000000" w:fill="EFCDFF"/>
            <w:noWrap/>
            <w:vAlign w:val="bottom"/>
            <w:hideMark/>
          </w:tcPr>
          <w:p w14:paraId="20828ECE" w14:textId="77777777" w:rsidR="00153816" w:rsidRPr="00EE05AA" w:rsidRDefault="00153816" w:rsidP="006B1E56">
            <w:pPr>
              <w:jc w:val="right"/>
              <w:rPr>
                <w:rFonts w:asciiTheme="majorHAnsi" w:hAnsiTheme="majorHAnsi"/>
              </w:rPr>
            </w:pPr>
            <w:r w:rsidRPr="00EE05AA">
              <w:rPr>
                <w:rFonts w:asciiTheme="majorHAnsi" w:hAnsiTheme="majorHAnsi"/>
              </w:rPr>
              <w:t>1</w:t>
            </w:r>
          </w:p>
        </w:tc>
        <w:tc>
          <w:tcPr>
            <w:tcW w:w="1134" w:type="dxa"/>
            <w:tcBorders>
              <w:top w:val="nil"/>
              <w:left w:val="nil"/>
              <w:bottom w:val="nil"/>
              <w:right w:val="nil"/>
            </w:tcBorders>
            <w:shd w:val="clear" w:color="000000" w:fill="EFCDFF"/>
            <w:noWrap/>
            <w:vAlign w:val="bottom"/>
            <w:hideMark/>
          </w:tcPr>
          <w:p w14:paraId="4BAD4994"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14E32CFA" w14:textId="77777777" w:rsidTr="0080697E">
        <w:trPr>
          <w:trHeight w:val="320"/>
        </w:trPr>
        <w:tc>
          <w:tcPr>
            <w:tcW w:w="1715" w:type="dxa"/>
            <w:tcBorders>
              <w:top w:val="nil"/>
              <w:left w:val="nil"/>
              <w:bottom w:val="nil"/>
              <w:right w:val="nil"/>
            </w:tcBorders>
            <w:shd w:val="clear" w:color="000000" w:fill="EFCDFF"/>
            <w:noWrap/>
            <w:vAlign w:val="bottom"/>
            <w:hideMark/>
          </w:tcPr>
          <w:p w14:paraId="7D5BEB23"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nil"/>
              <w:right w:val="nil"/>
            </w:tcBorders>
            <w:shd w:val="clear" w:color="000000" w:fill="EFCDFF"/>
            <w:noWrap/>
            <w:vAlign w:val="bottom"/>
            <w:hideMark/>
          </w:tcPr>
          <w:p w14:paraId="4A589F31"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EFCDFF"/>
            <w:noWrap/>
            <w:vAlign w:val="bottom"/>
            <w:hideMark/>
          </w:tcPr>
          <w:p w14:paraId="44DFEFD8"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EFCDFF"/>
            <w:noWrap/>
            <w:vAlign w:val="bottom"/>
            <w:hideMark/>
          </w:tcPr>
          <w:p w14:paraId="5E011186" w14:textId="77777777" w:rsidR="00153816" w:rsidRPr="00EE05AA" w:rsidRDefault="00153816" w:rsidP="006B1E56">
            <w:pPr>
              <w:rPr>
                <w:rFonts w:asciiTheme="majorHAnsi" w:hAnsiTheme="majorHAnsi"/>
              </w:rPr>
            </w:pPr>
            <w:r w:rsidRPr="00EE05AA">
              <w:rPr>
                <w:rFonts w:asciiTheme="majorHAnsi" w:hAnsiTheme="majorHAnsi"/>
              </w:rPr>
              <w:t>Unknown</w:t>
            </w:r>
          </w:p>
        </w:tc>
        <w:tc>
          <w:tcPr>
            <w:tcW w:w="2080" w:type="dxa"/>
            <w:tcBorders>
              <w:top w:val="nil"/>
              <w:left w:val="nil"/>
              <w:bottom w:val="nil"/>
              <w:right w:val="nil"/>
            </w:tcBorders>
            <w:shd w:val="clear" w:color="000000" w:fill="EFCDFF"/>
            <w:noWrap/>
            <w:vAlign w:val="bottom"/>
            <w:hideMark/>
          </w:tcPr>
          <w:p w14:paraId="6A0A3CA3" w14:textId="77777777" w:rsidR="00153816" w:rsidRPr="00EE05AA" w:rsidRDefault="00153816" w:rsidP="006B1E56">
            <w:pPr>
              <w:jc w:val="right"/>
              <w:rPr>
                <w:rFonts w:asciiTheme="majorHAnsi" w:hAnsiTheme="majorHAnsi"/>
              </w:rPr>
            </w:pPr>
            <w:r w:rsidRPr="00EE05AA">
              <w:rPr>
                <w:rFonts w:asciiTheme="majorHAnsi" w:hAnsiTheme="majorHAnsi"/>
              </w:rPr>
              <w:t>2</w:t>
            </w:r>
          </w:p>
        </w:tc>
        <w:tc>
          <w:tcPr>
            <w:tcW w:w="1134" w:type="dxa"/>
            <w:tcBorders>
              <w:top w:val="nil"/>
              <w:left w:val="nil"/>
              <w:bottom w:val="nil"/>
              <w:right w:val="nil"/>
            </w:tcBorders>
            <w:shd w:val="clear" w:color="000000" w:fill="EFCDFF"/>
            <w:noWrap/>
            <w:vAlign w:val="bottom"/>
            <w:hideMark/>
          </w:tcPr>
          <w:p w14:paraId="25C515D4" w14:textId="77777777" w:rsidR="00153816" w:rsidRPr="00EE05AA" w:rsidRDefault="00153816" w:rsidP="006B1E56">
            <w:pPr>
              <w:rPr>
                <w:rFonts w:asciiTheme="majorHAnsi" w:hAnsiTheme="majorHAnsi"/>
              </w:rPr>
            </w:pPr>
            <w:r w:rsidRPr="00EE05AA">
              <w:rPr>
                <w:rFonts w:asciiTheme="majorHAnsi" w:hAnsiTheme="majorHAnsi"/>
              </w:rPr>
              <w:t> </w:t>
            </w:r>
          </w:p>
        </w:tc>
      </w:tr>
      <w:tr w:rsidR="00153816" w:rsidRPr="00EE05AA" w14:paraId="3CA130A4" w14:textId="77777777" w:rsidTr="0080697E">
        <w:trPr>
          <w:trHeight w:val="320"/>
        </w:trPr>
        <w:tc>
          <w:tcPr>
            <w:tcW w:w="1715" w:type="dxa"/>
            <w:tcBorders>
              <w:top w:val="nil"/>
              <w:left w:val="nil"/>
              <w:bottom w:val="nil"/>
              <w:right w:val="nil"/>
            </w:tcBorders>
            <w:shd w:val="clear" w:color="000000" w:fill="EFCDFF"/>
            <w:noWrap/>
            <w:vAlign w:val="bottom"/>
            <w:hideMark/>
          </w:tcPr>
          <w:p w14:paraId="6A4126D1" w14:textId="77777777" w:rsidR="00153816" w:rsidRPr="00EE05AA" w:rsidRDefault="00153816" w:rsidP="006B1E56">
            <w:pPr>
              <w:rPr>
                <w:rFonts w:asciiTheme="majorHAnsi" w:hAnsiTheme="majorHAnsi"/>
              </w:rPr>
            </w:pPr>
            <w:r w:rsidRPr="00EE05AA">
              <w:rPr>
                <w:rFonts w:asciiTheme="majorHAnsi" w:hAnsiTheme="majorHAnsi"/>
              </w:rPr>
              <w:t>2018-19</w:t>
            </w:r>
          </w:p>
        </w:tc>
        <w:tc>
          <w:tcPr>
            <w:tcW w:w="1107" w:type="dxa"/>
            <w:tcBorders>
              <w:top w:val="nil"/>
              <w:left w:val="nil"/>
              <w:bottom w:val="nil"/>
              <w:right w:val="nil"/>
            </w:tcBorders>
            <w:shd w:val="clear" w:color="000000" w:fill="EFCDFF"/>
            <w:noWrap/>
            <w:vAlign w:val="bottom"/>
            <w:hideMark/>
          </w:tcPr>
          <w:p w14:paraId="607B2260" w14:textId="77777777" w:rsidR="00153816" w:rsidRPr="00EE05AA" w:rsidRDefault="00153816" w:rsidP="006B1E56">
            <w:pPr>
              <w:rPr>
                <w:rFonts w:asciiTheme="majorHAnsi" w:hAnsiTheme="majorHAnsi"/>
              </w:rPr>
            </w:pPr>
            <w:r w:rsidRPr="00EE05AA">
              <w:rPr>
                <w:rFonts w:asciiTheme="majorHAnsi" w:hAnsiTheme="majorHAnsi"/>
              </w:rPr>
              <w:t>Brighton and Hove</w:t>
            </w:r>
          </w:p>
        </w:tc>
        <w:tc>
          <w:tcPr>
            <w:tcW w:w="1443" w:type="dxa"/>
            <w:tcBorders>
              <w:top w:val="nil"/>
              <w:left w:val="nil"/>
              <w:bottom w:val="nil"/>
              <w:right w:val="nil"/>
            </w:tcBorders>
            <w:shd w:val="clear" w:color="000000" w:fill="EFCDFF"/>
            <w:noWrap/>
            <w:vAlign w:val="bottom"/>
            <w:hideMark/>
          </w:tcPr>
          <w:p w14:paraId="6EE29FC7" w14:textId="77777777" w:rsidR="00153816" w:rsidRPr="00EE05AA" w:rsidRDefault="00153816" w:rsidP="006B1E56">
            <w:pPr>
              <w:rPr>
                <w:rFonts w:asciiTheme="majorHAnsi" w:hAnsiTheme="majorHAnsi"/>
              </w:rPr>
            </w:pPr>
            <w:r w:rsidRPr="00EE05AA">
              <w:rPr>
                <w:rFonts w:asciiTheme="majorHAnsi" w:hAnsiTheme="majorHAnsi"/>
              </w:rPr>
              <w:t>15 to 17</w:t>
            </w:r>
          </w:p>
        </w:tc>
        <w:tc>
          <w:tcPr>
            <w:tcW w:w="2014" w:type="dxa"/>
            <w:tcBorders>
              <w:top w:val="nil"/>
              <w:left w:val="nil"/>
              <w:bottom w:val="nil"/>
              <w:right w:val="nil"/>
            </w:tcBorders>
            <w:shd w:val="clear" w:color="000000" w:fill="EFCDFF"/>
            <w:noWrap/>
            <w:vAlign w:val="bottom"/>
            <w:hideMark/>
          </w:tcPr>
          <w:p w14:paraId="07188C82" w14:textId="77777777" w:rsidR="00153816" w:rsidRPr="00EE05AA" w:rsidRDefault="00153816" w:rsidP="006B1E56">
            <w:pPr>
              <w:rPr>
                <w:rFonts w:asciiTheme="majorHAnsi" w:hAnsiTheme="majorHAnsi"/>
              </w:rPr>
            </w:pPr>
            <w:r w:rsidRPr="00EE05AA">
              <w:rPr>
                <w:rFonts w:asciiTheme="majorHAnsi" w:hAnsiTheme="majorHAnsi"/>
              </w:rPr>
              <w:t>White</w:t>
            </w:r>
          </w:p>
        </w:tc>
        <w:tc>
          <w:tcPr>
            <w:tcW w:w="2080" w:type="dxa"/>
            <w:tcBorders>
              <w:top w:val="nil"/>
              <w:left w:val="nil"/>
              <w:bottom w:val="nil"/>
              <w:right w:val="nil"/>
            </w:tcBorders>
            <w:shd w:val="clear" w:color="000000" w:fill="EFCDFF"/>
            <w:noWrap/>
            <w:vAlign w:val="bottom"/>
            <w:hideMark/>
          </w:tcPr>
          <w:p w14:paraId="53D30A67" w14:textId="77777777" w:rsidR="00153816" w:rsidRPr="00EE05AA" w:rsidRDefault="00153816" w:rsidP="006B1E56">
            <w:pPr>
              <w:jc w:val="right"/>
              <w:rPr>
                <w:rFonts w:asciiTheme="majorHAnsi" w:hAnsiTheme="majorHAnsi"/>
              </w:rPr>
            </w:pPr>
            <w:r w:rsidRPr="00EE05AA">
              <w:rPr>
                <w:rFonts w:asciiTheme="majorHAnsi" w:hAnsiTheme="majorHAnsi"/>
              </w:rPr>
              <w:t>25</w:t>
            </w:r>
          </w:p>
        </w:tc>
        <w:tc>
          <w:tcPr>
            <w:tcW w:w="1134" w:type="dxa"/>
            <w:tcBorders>
              <w:top w:val="nil"/>
              <w:left w:val="nil"/>
              <w:bottom w:val="nil"/>
              <w:right w:val="nil"/>
            </w:tcBorders>
            <w:shd w:val="clear" w:color="000000" w:fill="EFCDFF"/>
            <w:noWrap/>
            <w:vAlign w:val="bottom"/>
            <w:hideMark/>
          </w:tcPr>
          <w:p w14:paraId="6242ED94" w14:textId="77777777" w:rsidR="00153816" w:rsidRPr="00EE05AA" w:rsidRDefault="00153816" w:rsidP="006B1E56">
            <w:pPr>
              <w:jc w:val="right"/>
              <w:rPr>
                <w:rFonts w:asciiTheme="majorHAnsi" w:hAnsiTheme="majorHAnsi"/>
              </w:rPr>
            </w:pPr>
            <w:r w:rsidRPr="00EE05AA">
              <w:rPr>
                <w:rFonts w:asciiTheme="majorHAnsi" w:hAnsiTheme="majorHAnsi"/>
              </w:rPr>
              <w:t>34</w:t>
            </w:r>
          </w:p>
        </w:tc>
      </w:tr>
    </w:tbl>
    <w:p w14:paraId="0ED3D04F" w14:textId="77777777" w:rsidR="00153816" w:rsidRPr="00EE05AA" w:rsidRDefault="00153816" w:rsidP="00153816">
      <w:pPr>
        <w:rPr>
          <w:rFonts w:asciiTheme="majorHAnsi" w:hAnsiTheme="majorHAnsi"/>
        </w:rPr>
      </w:pPr>
    </w:p>
    <w:p w14:paraId="6EEB1A2C" w14:textId="77777777" w:rsidR="00153816" w:rsidRPr="00EE05AA" w:rsidRDefault="00153816" w:rsidP="00153816">
      <w:pPr>
        <w:rPr>
          <w:rFonts w:asciiTheme="majorHAnsi" w:hAnsiTheme="majorHAnsi"/>
        </w:rPr>
      </w:pPr>
    </w:p>
    <w:p w14:paraId="4C580205" w14:textId="77777777" w:rsidR="00153816" w:rsidRPr="00EE05AA" w:rsidRDefault="00153816" w:rsidP="00153816">
      <w:pPr>
        <w:rPr>
          <w:rFonts w:asciiTheme="majorHAnsi" w:hAnsiTheme="majorHAnsi"/>
        </w:rPr>
      </w:pPr>
    </w:p>
    <w:p w14:paraId="6752535B" w14:textId="77777777" w:rsidR="00153816" w:rsidRDefault="00153816" w:rsidP="00153816">
      <w:pPr>
        <w:rPr>
          <w:rFonts w:asciiTheme="majorHAnsi" w:hAnsiTheme="majorHAnsi"/>
        </w:rPr>
      </w:pPr>
    </w:p>
    <w:p w14:paraId="5C54A638" w14:textId="77777777" w:rsidR="00153816" w:rsidRPr="00D74B76" w:rsidRDefault="00153816" w:rsidP="00153816">
      <w:pPr>
        <w:rPr>
          <w:rFonts w:asciiTheme="majorHAnsi" w:hAnsiTheme="majorHAnsi"/>
        </w:rPr>
      </w:pPr>
    </w:p>
    <w:p w14:paraId="36799C38" w14:textId="77777777" w:rsidR="00153816" w:rsidRPr="00D74B76" w:rsidRDefault="00153816" w:rsidP="00153816">
      <w:pPr>
        <w:rPr>
          <w:rFonts w:asciiTheme="majorHAnsi" w:hAnsiTheme="majorHAnsi"/>
        </w:rPr>
      </w:pPr>
    </w:p>
    <w:p w14:paraId="726ADD11" w14:textId="77777777" w:rsidR="00153816" w:rsidRPr="00D74B76" w:rsidRDefault="00153816" w:rsidP="00153816">
      <w:pPr>
        <w:pStyle w:val="ListParagraph"/>
        <w:numPr>
          <w:ilvl w:val="0"/>
          <w:numId w:val="15"/>
        </w:numPr>
        <w:rPr>
          <w:rFonts w:asciiTheme="majorHAnsi" w:hAnsiTheme="majorHAnsi"/>
          <w:b/>
          <w:bCs/>
        </w:rPr>
      </w:pPr>
      <w:r w:rsidRPr="00D74B76">
        <w:rPr>
          <w:rFonts w:asciiTheme="majorHAnsi" w:hAnsiTheme="majorHAnsi"/>
          <w:b/>
          <w:bCs/>
        </w:rPr>
        <w:t>Local and national comparisons regarding social work involvement type:</w:t>
      </w:r>
    </w:p>
    <w:p w14:paraId="08AFD562" w14:textId="77777777" w:rsidR="00153816" w:rsidRPr="00D74B76" w:rsidRDefault="00153816" w:rsidP="00153816">
      <w:pPr>
        <w:rPr>
          <w:rFonts w:asciiTheme="majorHAnsi" w:hAnsiTheme="majorHAnsi"/>
          <w:b/>
          <w:bCs/>
        </w:rPr>
      </w:pPr>
    </w:p>
    <w:p w14:paraId="5C99BBFC" w14:textId="77777777" w:rsidR="00153816" w:rsidRDefault="00153816" w:rsidP="00153816">
      <w:pPr>
        <w:pStyle w:val="Heading2"/>
        <w:numPr>
          <w:ilvl w:val="0"/>
          <w:numId w:val="16"/>
        </w:numPr>
        <w:rPr>
          <w:b/>
          <w:bCs/>
          <w:color w:val="000000" w:themeColor="text1"/>
          <w:sz w:val="24"/>
          <w:szCs w:val="24"/>
        </w:rPr>
      </w:pPr>
      <w:r w:rsidRPr="00D74B76">
        <w:rPr>
          <w:b/>
          <w:bCs/>
          <w:color w:val="000000" w:themeColor="text1"/>
          <w:sz w:val="24"/>
          <w:szCs w:val="24"/>
        </w:rPr>
        <w:t>Number of children looked after at 31 March by LA (from 2013/14 to 2018/19) for Brighton and Hove</w:t>
      </w:r>
    </w:p>
    <w:p w14:paraId="10CD92E8" w14:textId="77777777" w:rsidR="00153816" w:rsidRPr="00D74B76" w:rsidRDefault="00153816" w:rsidP="00153816"/>
    <w:tbl>
      <w:tblPr>
        <w:tblW w:w="3777"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000" w:firstRow="0" w:lastRow="0" w:firstColumn="0" w:lastColumn="0" w:noHBand="0" w:noVBand="0"/>
      </w:tblPr>
      <w:tblGrid>
        <w:gridCol w:w="834"/>
        <w:gridCol w:w="1079"/>
        <w:gridCol w:w="1753"/>
        <w:gridCol w:w="1670"/>
        <w:gridCol w:w="1762"/>
      </w:tblGrid>
      <w:tr w:rsidR="00153816" w:rsidRPr="00EE05AA" w14:paraId="3866932D" w14:textId="77777777" w:rsidTr="006B1E56">
        <w:trPr>
          <w:trHeight w:val="225"/>
        </w:trPr>
        <w:tc>
          <w:tcPr>
            <w:tcW w:w="0" w:type="auto"/>
            <w:shd w:val="clear" w:color="auto" w:fill="D9D9D9"/>
          </w:tcPr>
          <w:p w14:paraId="39899863"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6EA7DA17"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54" w:history="1">
              <w:r w:rsidRPr="00EE05AA">
                <w:rPr>
                  <w:rStyle w:val="Hyperlink"/>
                  <w:rFonts w:asciiTheme="majorHAnsi" w:hAnsiTheme="majorHAnsi"/>
                  <w:sz w:val="22"/>
                  <w:szCs w:val="22"/>
                </w:rPr>
                <w:t xml:space="preserve">Children looked after at 31 March (Number) </w:t>
              </w:r>
            </w:hyperlink>
          </w:p>
        </w:tc>
      </w:tr>
      <w:tr w:rsidR="00153816" w:rsidRPr="00EE05AA" w14:paraId="67B8E53D" w14:textId="77777777" w:rsidTr="006B1E56">
        <w:trPr>
          <w:trHeight w:val="201"/>
        </w:trPr>
        <w:tc>
          <w:tcPr>
            <w:tcW w:w="0" w:type="auto"/>
            <w:shd w:val="clear" w:color="auto" w:fill="D9D9D9"/>
          </w:tcPr>
          <w:p w14:paraId="5228F1B3"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07CD3D6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Children</w:t>
            </w:r>
          </w:p>
        </w:tc>
      </w:tr>
      <w:tr w:rsidR="00153816" w:rsidRPr="00EE05AA" w14:paraId="17822E01" w14:textId="77777777" w:rsidTr="006B1E56">
        <w:trPr>
          <w:trHeight w:val="452"/>
        </w:trPr>
        <w:tc>
          <w:tcPr>
            <w:tcW w:w="0" w:type="auto"/>
            <w:shd w:val="clear" w:color="auto" w:fill="D9D9D9"/>
          </w:tcPr>
          <w:p w14:paraId="3B3F530A"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07618678"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43706948"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unitary authorities</w:t>
            </w:r>
          </w:p>
        </w:tc>
        <w:tc>
          <w:tcPr>
            <w:tcW w:w="0" w:type="auto"/>
            <w:shd w:val="clear" w:color="auto" w:fill="D9D9D9"/>
          </w:tcPr>
          <w:p w14:paraId="4A83D821"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unitary authorities</w:t>
            </w:r>
          </w:p>
        </w:tc>
        <w:tc>
          <w:tcPr>
            <w:tcW w:w="0" w:type="auto"/>
            <w:shd w:val="clear" w:color="auto" w:fill="D9D9D9"/>
          </w:tcPr>
          <w:p w14:paraId="3F07562F"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unitary authorities</w:t>
            </w:r>
          </w:p>
        </w:tc>
      </w:tr>
      <w:tr w:rsidR="00153816" w:rsidRPr="00EE05AA" w14:paraId="7AC3F828" w14:textId="77777777" w:rsidTr="006B1E56">
        <w:trPr>
          <w:trHeight w:val="225"/>
        </w:trPr>
        <w:tc>
          <w:tcPr>
            <w:tcW w:w="0" w:type="auto"/>
          </w:tcPr>
          <w:p w14:paraId="782BA98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w:t>
            </w:r>
          </w:p>
        </w:tc>
        <w:tc>
          <w:tcPr>
            <w:tcW w:w="0" w:type="auto"/>
          </w:tcPr>
          <w:p w14:paraId="3E13F06B" w14:textId="77777777" w:rsidR="00153816" w:rsidRPr="0080697E" w:rsidRDefault="00153816" w:rsidP="006B1E56">
            <w:pPr>
              <w:pStyle w:val="BodyText"/>
              <w:keepNext/>
              <w:rPr>
                <w:rFonts w:asciiTheme="majorHAnsi" w:hAnsiTheme="majorHAnsi"/>
                <w:color w:val="000000" w:themeColor="text1"/>
                <w:sz w:val="22"/>
                <w:szCs w:val="22"/>
              </w:rPr>
            </w:pPr>
            <w:r w:rsidRPr="0080697E">
              <w:rPr>
                <w:rFonts w:asciiTheme="majorHAnsi" w:hAnsiTheme="majorHAnsi"/>
                <w:color w:val="000000" w:themeColor="text1"/>
                <w:sz w:val="22"/>
                <w:szCs w:val="22"/>
              </w:rPr>
              <w:t xml:space="preserve"> </w:t>
            </w:r>
            <w:hyperlink r:id="rId55" w:history="1">
              <w:r w:rsidRPr="0080697E">
                <w:rPr>
                  <w:rStyle w:val="Hyperlink"/>
                  <w:rFonts w:asciiTheme="majorHAnsi" w:hAnsiTheme="majorHAnsi"/>
                  <w:color w:val="000000" w:themeColor="text1"/>
                  <w:sz w:val="22"/>
                  <w:szCs w:val="22"/>
                </w:rPr>
                <w:t xml:space="preserve">462 </w:t>
              </w:r>
            </w:hyperlink>
          </w:p>
        </w:tc>
        <w:tc>
          <w:tcPr>
            <w:tcW w:w="0" w:type="auto"/>
          </w:tcPr>
          <w:p w14:paraId="1DFB184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44DE583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308</w:t>
            </w:r>
          </w:p>
        </w:tc>
        <w:tc>
          <w:tcPr>
            <w:tcW w:w="0" w:type="auto"/>
          </w:tcPr>
          <w:p w14:paraId="20EB37A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693</w:t>
            </w:r>
          </w:p>
        </w:tc>
      </w:tr>
      <w:tr w:rsidR="00153816" w:rsidRPr="00EE05AA" w14:paraId="25515A0A" w14:textId="77777777" w:rsidTr="006B1E56">
        <w:trPr>
          <w:trHeight w:val="201"/>
        </w:trPr>
        <w:tc>
          <w:tcPr>
            <w:tcW w:w="0" w:type="auto"/>
          </w:tcPr>
          <w:p w14:paraId="4B14109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w:t>
            </w:r>
          </w:p>
        </w:tc>
        <w:tc>
          <w:tcPr>
            <w:tcW w:w="0" w:type="auto"/>
          </w:tcPr>
          <w:p w14:paraId="5BCD46A6" w14:textId="77777777" w:rsidR="00153816" w:rsidRPr="00E43C10" w:rsidRDefault="00153816" w:rsidP="006B1E56">
            <w:pPr>
              <w:pStyle w:val="BodyText"/>
              <w:keepNext/>
              <w:rPr>
                <w:rFonts w:asciiTheme="majorHAnsi" w:hAnsiTheme="majorHAnsi"/>
                <w:color w:val="000000" w:themeColor="text1"/>
                <w:sz w:val="22"/>
                <w:szCs w:val="22"/>
              </w:rPr>
            </w:pPr>
            <w:r w:rsidRPr="0080697E">
              <w:rPr>
                <w:rFonts w:asciiTheme="majorHAnsi" w:hAnsiTheme="majorHAnsi"/>
                <w:color w:val="000000" w:themeColor="text1"/>
                <w:sz w:val="22"/>
                <w:szCs w:val="22"/>
              </w:rPr>
              <w:t xml:space="preserve"> </w:t>
            </w:r>
            <w:hyperlink r:id="rId56" w:history="1">
              <w:r w:rsidRPr="0080697E">
                <w:rPr>
                  <w:rStyle w:val="Hyperlink"/>
                  <w:rFonts w:asciiTheme="majorHAnsi" w:hAnsiTheme="majorHAnsi"/>
                  <w:color w:val="000000" w:themeColor="text1"/>
                  <w:sz w:val="22"/>
                  <w:szCs w:val="22"/>
                </w:rPr>
                <w:t xml:space="preserve">472 </w:t>
              </w:r>
            </w:hyperlink>
          </w:p>
        </w:tc>
        <w:tc>
          <w:tcPr>
            <w:tcW w:w="0" w:type="auto"/>
          </w:tcPr>
          <w:p w14:paraId="6D1C275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6C1D468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317</w:t>
            </w:r>
          </w:p>
        </w:tc>
        <w:tc>
          <w:tcPr>
            <w:tcW w:w="0" w:type="auto"/>
          </w:tcPr>
          <w:p w14:paraId="3A27D63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699</w:t>
            </w:r>
          </w:p>
        </w:tc>
      </w:tr>
      <w:tr w:rsidR="00153816" w:rsidRPr="00EE05AA" w14:paraId="7ABD8A96" w14:textId="77777777" w:rsidTr="006B1E56">
        <w:trPr>
          <w:trHeight w:val="225"/>
        </w:trPr>
        <w:tc>
          <w:tcPr>
            <w:tcW w:w="0" w:type="auto"/>
          </w:tcPr>
          <w:p w14:paraId="3CF8009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w:t>
            </w:r>
          </w:p>
        </w:tc>
        <w:tc>
          <w:tcPr>
            <w:tcW w:w="0" w:type="auto"/>
          </w:tcPr>
          <w:p w14:paraId="113C2562" w14:textId="77777777" w:rsidR="00153816" w:rsidRPr="0080697E" w:rsidRDefault="00153816" w:rsidP="006B1E56">
            <w:pPr>
              <w:pStyle w:val="BodyText"/>
              <w:keepNext/>
              <w:rPr>
                <w:rFonts w:asciiTheme="majorHAnsi" w:hAnsiTheme="majorHAnsi"/>
                <w:color w:val="000000" w:themeColor="text1"/>
                <w:sz w:val="22"/>
                <w:szCs w:val="22"/>
              </w:rPr>
            </w:pPr>
            <w:r w:rsidRPr="0080697E">
              <w:rPr>
                <w:rFonts w:asciiTheme="majorHAnsi" w:hAnsiTheme="majorHAnsi"/>
                <w:color w:val="000000" w:themeColor="text1"/>
                <w:sz w:val="22"/>
                <w:szCs w:val="22"/>
              </w:rPr>
              <w:t xml:space="preserve"> </w:t>
            </w:r>
            <w:hyperlink r:id="rId57" w:history="1">
              <w:r w:rsidRPr="0080697E">
                <w:rPr>
                  <w:rStyle w:val="Hyperlink"/>
                  <w:rFonts w:asciiTheme="majorHAnsi" w:hAnsiTheme="majorHAnsi"/>
                  <w:color w:val="000000" w:themeColor="text1"/>
                  <w:sz w:val="22"/>
                  <w:szCs w:val="22"/>
                </w:rPr>
                <w:t xml:space="preserve">438 </w:t>
              </w:r>
            </w:hyperlink>
          </w:p>
        </w:tc>
        <w:tc>
          <w:tcPr>
            <w:tcW w:w="0" w:type="auto"/>
          </w:tcPr>
          <w:p w14:paraId="4B72E9B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127D8F9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325</w:t>
            </w:r>
          </w:p>
        </w:tc>
        <w:tc>
          <w:tcPr>
            <w:tcW w:w="0" w:type="auto"/>
          </w:tcPr>
          <w:p w14:paraId="75F95EF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678</w:t>
            </w:r>
          </w:p>
        </w:tc>
      </w:tr>
      <w:tr w:rsidR="00153816" w:rsidRPr="00EE05AA" w14:paraId="1D20B21D" w14:textId="77777777" w:rsidTr="006B1E56">
        <w:trPr>
          <w:trHeight w:val="225"/>
        </w:trPr>
        <w:tc>
          <w:tcPr>
            <w:tcW w:w="0" w:type="auto"/>
          </w:tcPr>
          <w:p w14:paraId="547AA0B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w:t>
            </w:r>
          </w:p>
        </w:tc>
        <w:tc>
          <w:tcPr>
            <w:tcW w:w="0" w:type="auto"/>
          </w:tcPr>
          <w:p w14:paraId="7F75636C" w14:textId="77777777" w:rsidR="00153816" w:rsidRPr="0080697E" w:rsidRDefault="00153816" w:rsidP="006B1E56">
            <w:pPr>
              <w:pStyle w:val="BodyText"/>
              <w:keepNext/>
              <w:rPr>
                <w:rFonts w:asciiTheme="majorHAnsi" w:hAnsiTheme="majorHAnsi"/>
                <w:color w:val="000000" w:themeColor="text1"/>
                <w:sz w:val="22"/>
                <w:szCs w:val="22"/>
              </w:rPr>
            </w:pPr>
            <w:r w:rsidRPr="0080697E">
              <w:rPr>
                <w:rFonts w:asciiTheme="majorHAnsi" w:hAnsiTheme="majorHAnsi"/>
                <w:color w:val="000000" w:themeColor="text1"/>
                <w:sz w:val="22"/>
                <w:szCs w:val="22"/>
              </w:rPr>
              <w:t xml:space="preserve"> </w:t>
            </w:r>
            <w:hyperlink r:id="rId58" w:history="1">
              <w:r w:rsidRPr="0080697E">
                <w:rPr>
                  <w:rStyle w:val="Hyperlink"/>
                  <w:rFonts w:asciiTheme="majorHAnsi" w:hAnsiTheme="majorHAnsi"/>
                  <w:color w:val="000000" w:themeColor="text1"/>
                  <w:sz w:val="22"/>
                  <w:szCs w:val="22"/>
                </w:rPr>
                <w:t xml:space="preserve">456 </w:t>
              </w:r>
            </w:hyperlink>
          </w:p>
        </w:tc>
        <w:tc>
          <w:tcPr>
            <w:tcW w:w="0" w:type="auto"/>
          </w:tcPr>
          <w:p w14:paraId="5574349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6612AFE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345</w:t>
            </w:r>
          </w:p>
        </w:tc>
        <w:tc>
          <w:tcPr>
            <w:tcW w:w="0" w:type="auto"/>
          </w:tcPr>
          <w:p w14:paraId="75F3982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812</w:t>
            </w:r>
          </w:p>
        </w:tc>
      </w:tr>
      <w:tr w:rsidR="00153816" w:rsidRPr="00EE05AA" w14:paraId="0B23D220" w14:textId="77777777" w:rsidTr="006B1E56">
        <w:trPr>
          <w:trHeight w:val="201"/>
        </w:trPr>
        <w:tc>
          <w:tcPr>
            <w:tcW w:w="0" w:type="auto"/>
          </w:tcPr>
          <w:p w14:paraId="0A5DC0F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w:t>
            </w:r>
          </w:p>
        </w:tc>
        <w:tc>
          <w:tcPr>
            <w:tcW w:w="0" w:type="auto"/>
          </w:tcPr>
          <w:p w14:paraId="49C00FE1" w14:textId="77777777" w:rsidR="00153816" w:rsidRPr="0080697E" w:rsidRDefault="00153816" w:rsidP="006B1E56">
            <w:pPr>
              <w:pStyle w:val="BodyText"/>
              <w:keepNext/>
              <w:rPr>
                <w:rFonts w:asciiTheme="majorHAnsi" w:hAnsiTheme="majorHAnsi"/>
                <w:color w:val="000000" w:themeColor="text1"/>
                <w:sz w:val="22"/>
                <w:szCs w:val="22"/>
              </w:rPr>
            </w:pPr>
            <w:r w:rsidRPr="0080697E">
              <w:rPr>
                <w:rFonts w:asciiTheme="majorHAnsi" w:hAnsiTheme="majorHAnsi"/>
                <w:color w:val="000000" w:themeColor="text1"/>
                <w:sz w:val="22"/>
                <w:szCs w:val="22"/>
              </w:rPr>
              <w:t xml:space="preserve"> </w:t>
            </w:r>
            <w:hyperlink r:id="rId59" w:history="1">
              <w:r w:rsidRPr="0080697E">
                <w:rPr>
                  <w:rStyle w:val="Hyperlink"/>
                  <w:rFonts w:asciiTheme="majorHAnsi" w:hAnsiTheme="majorHAnsi"/>
                  <w:color w:val="000000" w:themeColor="text1"/>
                  <w:sz w:val="22"/>
                  <w:szCs w:val="22"/>
                </w:rPr>
                <w:t xml:space="preserve">419 </w:t>
              </w:r>
            </w:hyperlink>
          </w:p>
        </w:tc>
        <w:tc>
          <w:tcPr>
            <w:tcW w:w="0" w:type="auto"/>
          </w:tcPr>
          <w:p w14:paraId="682E104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4A32DF4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359</w:t>
            </w:r>
          </w:p>
        </w:tc>
        <w:tc>
          <w:tcPr>
            <w:tcW w:w="0" w:type="auto"/>
          </w:tcPr>
          <w:p w14:paraId="1CABF00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803</w:t>
            </w:r>
          </w:p>
        </w:tc>
      </w:tr>
      <w:tr w:rsidR="00153816" w:rsidRPr="00EE05AA" w14:paraId="5533AB83" w14:textId="77777777" w:rsidTr="006B1E56">
        <w:trPr>
          <w:trHeight w:val="225"/>
        </w:trPr>
        <w:tc>
          <w:tcPr>
            <w:tcW w:w="0" w:type="auto"/>
          </w:tcPr>
          <w:p w14:paraId="7840D51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w:t>
            </w:r>
          </w:p>
        </w:tc>
        <w:tc>
          <w:tcPr>
            <w:tcW w:w="0" w:type="auto"/>
          </w:tcPr>
          <w:p w14:paraId="6A3BA76C" w14:textId="77777777" w:rsidR="00153816" w:rsidRPr="0080697E" w:rsidRDefault="00153816" w:rsidP="006B1E56">
            <w:pPr>
              <w:pStyle w:val="BodyText"/>
              <w:keepNext/>
              <w:rPr>
                <w:rFonts w:asciiTheme="majorHAnsi" w:hAnsiTheme="majorHAnsi"/>
                <w:color w:val="000000" w:themeColor="text1"/>
                <w:sz w:val="22"/>
                <w:szCs w:val="22"/>
              </w:rPr>
            </w:pPr>
            <w:r w:rsidRPr="0080697E">
              <w:rPr>
                <w:rFonts w:asciiTheme="majorHAnsi" w:hAnsiTheme="majorHAnsi"/>
                <w:color w:val="000000" w:themeColor="text1"/>
                <w:sz w:val="22"/>
                <w:szCs w:val="22"/>
              </w:rPr>
              <w:t xml:space="preserve"> </w:t>
            </w:r>
            <w:hyperlink r:id="rId60" w:history="1">
              <w:r w:rsidRPr="0080697E">
                <w:rPr>
                  <w:rStyle w:val="Hyperlink"/>
                  <w:rFonts w:asciiTheme="majorHAnsi" w:hAnsiTheme="majorHAnsi"/>
                  <w:color w:val="000000" w:themeColor="text1"/>
                  <w:sz w:val="22"/>
                  <w:szCs w:val="22"/>
                </w:rPr>
                <w:t xml:space="preserve">391 </w:t>
              </w:r>
            </w:hyperlink>
          </w:p>
        </w:tc>
        <w:tc>
          <w:tcPr>
            <w:tcW w:w="0" w:type="auto"/>
          </w:tcPr>
          <w:p w14:paraId="0D92D2F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54B3594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373</w:t>
            </w:r>
          </w:p>
        </w:tc>
        <w:tc>
          <w:tcPr>
            <w:tcW w:w="0" w:type="auto"/>
          </w:tcPr>
          <w:p w14:paraId="7F7561B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851</w:t>
            </w:r>
          </w:p>
        </w:tc>
      </w:tr>
    </w:tbl>
    <w:p w14:paraId="3A47933D" w14:textId="77777777" w:rsidR="00153816" w:rsidRPr="00EE05AA" w:rsidRDefault="00153816" w:rsidP="00153816">
      <w:pPr>
        <w:pStyle w:val="BodyText"/>
        <w:rPr>
          <w:rFonts w:asciiTheme="majorHAnsi" w:hAnsiTheme="majorHAnsi"/>
          <w:sz w:val="22"/>
          <w:szCs w:val="22"/>
        </w:rPr>
      </w:pPr>
    </w:p>
    <w:p w14:paraId="66E84C0C" w14:textId="77777777" w:rsidR="00153816" w:rsidRPr="00D74B76" w:rsidRDefault="00153816" w:rsidP="00153816">
      <w:pPr>
        <w:pStyle w:val="BodyText"/>
        <w:rPr>
          <w:rFonts w:asciiTheme="majorHAnsi" w:hAnsiTheme="majorHAnsi"/>
          <w:sz w:val="24"/>
          <w:szCs w:val="24"/>
        </w:rPr>
      </w:pPr>
    </w:p>
    <w:p w14:paraId="78BA4DBC" w14:textId="77777777" w:rsidR="00153816" w:rsidRPr="00D74B76" w:rsidRDefault="00153816" w:rsidP="00153816">
      <w:pPr>
        <w:pStyle w:val="BodyText"/>
        <w:spacing w:line="360" w:lineRule="auto"/>
        <w:rPr>
          <w:rFonts w:asciiTheme="majorHAnsi" w:hAnsiTheme="majorHAnsi"/>
          <w:sz w:val="24"/>
          <w:szCs w:val="24"/>
        </w:rPr>
      </w:pPr>
      <w:r w:rsidRPr="00D74B76">
        <w:rPr>
          <w:rFonts w:asciiTheme="majorHAnsi" w:hAnsiTheme="majorHAnsi"/>
          <w:sz w:val="24"/>
          <w:szCs w:val="24"/>
        </w:rPr>
        <w:t xml:space="preserve">The table above illustrates the decline in the number of looked after children within the local area over recent years, towards levels closer to the means for the rest of the country, comparing only with other unitary authorities. The table below illustrates how, when compared with other ADASS regions, the number of looked after children have been falling over recent years, against the wider trend. </w:t>
      </w:r>
    </w:p>
    <w:p w14:paraId="1E451C49" w14:textId="77777777" w:rsidR="00153816" w:rsidRPr="00D74B76" w:rsidRDefault="00153816" w:rsidP="00153816">
      <w:pPr>
        <w:pStyle w:val="BodyText"/>
        <w:rPr>
          <w:rFonts w:asciiTheme="majorHAnsi" w:hAnsiTheme="majorHAnsi"/>
          <w:sz w:val="24"/>
          <w:szCs w:val="24"/>
        </w:rPr>
      </w:pPr>
    </w:p>
    <w:p w14:paraId="5C5AE114" w14:textId="07D38A3C" w:rsidR="00153816" w:rsidRPr="00D74B76" w:rsidRDefault="00153816" w:rsidP="0080697E">
      <w:pPr>
        <w:pStyle w:val="Heading2"/>
        <w:numPr>
          <w:ilvl w:val="0"/>
          <w:numId w:val="16"/>
        </w:numPr>
        <w:rPr>
          <w:b/>
          <w:bCs/>
          <w:color w:val="000000" w:themeColor="text1"/>
          <w:sz w:val="24"/>
          <w:szCs w:val="24"/>
        </w:rPr>
      </w:pPr>
      <w:r w:rsidRPr="00D74B76">
        <w:rPr>
          <w:b/>
          <w:bCs/>
          <w:color w:val="000000" w:themeColor="text1"/>
          <w:sz w:val="24"/>
          <w:szCs w:val="24"/>
        </w:rPr>
        <w:lastRenderedPageBreak/>
        <w:t>Number of children looked after at 31 March by LA (from 2013/14 to 2018/19) for Brighton and Hove</w:t>
      </w:r>
    </w:p>
    <w:tbl>
      <w:tblPr>
        <w:tblW w:w="3868"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834"/>
        <w:gridCol w:w="1150"/>
        <w:gridCol w:w="1832"/>
        <w:gridCol w:w="1584"/>
        <w:gridCol w:w="1869"/>
      </w:tblGrid>
      <w:tr w:rsidR="00153816" w:rsidRPr="00EE05AA" w14:paraId="6996F1CF" w14:textId="77777777" w:rsidTr="006B1E56">
        <w:trPr>
          <w:trHeight w:val="225"/>
        </w:trPr>
        <w:tc>
          <w:tcPr>
            <w:tcW w:w="0" w:type="auto"/>
            <w:shd w:val="clear" w:color="auto" w:fill="D9D9D9"/>
          </w:tcPr>
          <w:p w14:paraId="25799DD3"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45A86E29"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61" w:history="1">
              <w:r w:rsidRPr="00EE05AA">
                <w:rPr>
                  <w:rStyle w:val="Hyperlink"/>
                  <w:rFonts w:asciiTheme="majorHAnsi" w:hAnsiTheme="majorHAnsi"/>
                  <w:sz w:val="22"/>
                  <w:szCs w:val="22"/>
                </w:rPr>
                <w:t xml:space="preserve">Children looked after at 31 March (Number) </w:t>
              </w:r>
            </w:hyperlink>
          </w:p>
        </w:tc>
      </w:tr>
      <w:tr w:rsidR="00153816" w:rsidRPr="00EE05AA" w14:paraId="5BA6AB5D" w14:textId="77777777" w:rsidTr="006B1E56">
        <w:trPr>
          <w:trHeight w:val="201"/>
        </w:trPr>
        <w:tc>
          <w:tcPr>
            <w:tcW w:w="0" w:type="auto"/>
            <w:shd w:val="clear" w:color="auto" w:fill="D9D9D9"/>
          </w:tcPr>
          <w:p w14:paraId="5EC78703"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27935EC0"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Children</w:t>
            </w:r>
          </w:p>
        </w:tc>
      </w:tr>
      <w:tr w:rsidR="00153816" w:rsidRPr="00EE05AA" w14:paraId="54BB4DEE" w14:textId="77777777" w:rsidTr="006B1E56">
        <w:trPr>
          <w:trHeight w:val="452"/>
        </w:trPr>
        <w:tc>
          <w:tcPr>
            <w:tcW w:w="0" w:type="auto"/>
            <w:shd w:val="clear" w:color="auto" w:fill="D9D9D9"/>
          </w:tcPr>
          <w:p w14:paraId="2408F0CB"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060A65B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57EC689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South East (ADASS Region)</w:t>
            </w:r>
          </w:p>
        </w:tc>
        <w:tc>
          <w:tcPr>
            <w:tcW w:w="0" w:type="auto"/>
            <w:shd w:val="clear" w:color="auto" w:fill="D9D9D9"/>
          </w:tcPr>
          <w:p w14:paraId="2374ECD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South East (ADASS Region)</w:t>
            </w:r>
          </w:p>
        </w:tc>
        <w:tc>
          <w:tcPr>
            <w:tcW w:w="0" w:type="auto"/>
            <w:shd w:val="clear" w:color="auto" w:fill="D9D9D9"/>
          </w:tcPr>
          <w:p w14:paraId="57AE4C8B"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South East (ADASS Region)</w:t>
            </w:r>
          </w:p>
        </w:tc>
      </w:tr>
      <w:tr w:rsidR="00153816" w:rsidRPr="00EE05AA" w14:paraId="59153235" w14:textId="77777777" w:rsidTr="006B1E56">
        <w:trPr>
          <w:trHeight w:val="225"/>
        </w:trPr>
        <w:tc>
          <w:tcPr>
            <w:tcW w:w="0" w:type="auto"/>
          </w:tcPr>
          <w:p w14:paraId="30A990B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w:t>
            </w:r>
          </w:p>
        </w:tc>
        <w:tc>
          <w:tcPr>
            <w:tcW w:w="0" w:type="auto"/>
          </w:tcPr>
          <w:p w14:paraId="7421432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2" w:history="1">
              <w:r w:rsidRPr="00EE05AA">
                <w:rPr>
                  <w:rStyle w:val="Hyperlink"/>
                  <w:rFonts w:asciiTheme="majorHAnsi" w:hAnsiTheme="majorHAnsi"/>
                  <w:sz w:val="22"/>
                  <w:szCs w:val="22"/>
                </w:rPr>
                <w:t xml:space="preserve">462 </w:t>
              </w:r>
            </w:hyperlink>
          </w:p>
        </w:tc>
        <w:tc>
          <w:tcPr>
            <w:tcW w:w="0" w:type="auto"/>
          </w:tcPr>
          <w:p w14:paraId="3B19E90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72</w:t>
            </w:r>
          </w:p>
        </w:tc>
        <w:tc>
          <w:tcPr>
            <w:tcW w:w="0" w:type="auto"/>
          </w:tcPr>
          <w:p w14:paraId="6C0CFA9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483</w:t>
            </w:r>
          </w:p>
        </w:tc>
        <w:tc>
          <w:tcPr>
            <w:tcW w:w="0" w:type="auto"/>
          </w:tcPr>
          <w:p w14:paraId="48F77A2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1,820</w:t>
            </w:r>
          </w:p>
        </w:tc>
      </w:tr>
      <w:tr w:rsidR="00153816" w:rsidRPr="00EE05AA" w14:paraId="3C4F5BF6" w14:textId="77777777" w:rsidTr="006B1E56">
        <w:trPr>
          <w:trHeight w:val="201"/>
        </w:trPr>
        <w:tc>
          <w:tcPr>
            <w:tcW w:w="0" w:type="auto"/>
          </w:tcPr>
          <w:p w14:paraId="1D33FC8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w:t>
            </w:r>
          </w:p>
        </w:tc>
        <w:tc>
          <w:tcPr>
            <w:tcW w:w="0" w:type="auto"/>
          </w:tcPr>
          <w:p w14:paraId="6E6AFE9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3" w:history="1">
              <w:r w:rsidRPr="00EE05AA">
                <w:rPr>
                  <w:rStyle w:val="Hyperlink"/>
                  <w:rFonts w:asciiTheme="majorHAnsi" w:hAnsiTheme="majorHAnsi"/>
                  <w:sz w:val="22"/>
                  <w:szCs w:val="22"/>
                </w:rPr>
                <w:t xml:space="preserve">472 </w:t>
              </w:r>
            </w:hyperlink>
          </w:p>
        </w:tc>
        <w:tc>
          <w:tcPr>
            <w:tcW w:w="0" w:type="auto"/>
          </w:tcPr>
          <w:p w14:paraId="19B5A7E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75</w:t>
            </w:r>
          </w:p>
        </w:tc>
        <w:tc>
          <w:tcPr>
            <w:tcW w:w="0" w:type="auto"/>
          </w:tcPr>
          <w:p w14:paraId="68F6C92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502</w:t>
            </w:r>
          </w:p>
        </w:tc>
        <w:tc>
          <w:tcPr>
            <w:tcW w:w="0" w:type="auto"/>
          </w:tcPr>
          <w:p w14:paraId="5E8F58D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1,867</w:t>
            </w:r>
          </w:p>
        </w:tc>
      </w:tr>
      <w:tr w:rsidR="00153816" w:rsidRPr="00EE05AA" w14:paraId="383BBA3B" w14:textId="77777777" w:rsidTr="006B1E56">
        <w:trPr>
          <w:trHeight w:val="225"/>
        </w:trPr>
        <w:tc>
          <w:tcPr>
            <w:tcW w:w="0" w:type="auto"/>
          </w:tcPr>
          <w:p w14:paraId="4B87C6E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w:t>
            </w:r>
          </w:p>
        </w:tc>
        <w:tc>
          <w:tcPr>
            <w:tcW w:w="0" w:type="auto"/>
          </w:tcPr>
          <w:p w14:paraId="32E58FC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4" w:history="1">
              <w:r w:rsidRPr="00EE05AA">
                <w:rPr>
                  <w:rStyle w:val="Hyperlink"/>
                  <w:rFonts w:asciiTheme="majorHAnsi" w:hAnsiTheme="majorHAnsi"/>
                  <w:sz w:val="22"/>
                  <w:szCs w:val="22"/>
                </w:rPr>
                <w:t xml:space="preserve">438 </w:t>
              </w:r>
            </w:hyperlink>
          </w:p>
        </w:tc>
        <w:tc>
          <w:tcPr>
            <w:tcW w:w="0" w:type="auto"/>
          </w:tcPr>
          <w:p w14:paraId="2BC9068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81</w:t>
            </w:r>
          </w:p>
        </w:tc>
        <w:tc>
          <w:tcPr>
            <w:tcW w:w="0" w:type="auto"/>
          </w:tcPr>
          <w:p w14:paraId="5A0B547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534</w:t>
            </w:r>
          </w:p>
        </w:tc>
        <w:tc>
          <w:tcPr>
            <w:tcW w:w="0" w:type="auto"/>
          </w:tcPr>
          <w:p w14:paraId="7FB4054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2,314</w:t>
            </w:r>
          </w:p>
        </w:tc>
      </w:tr>
      <w:tr w:rsidR="00153816" w:rsidRPr="00EE05AA" w14:paraId="7C7776D8" w14:textId="77777777" w:rsidTr="006B1E56">
        <w:trPr>
          <w:trHeight w:val="225"/>
        </w:trPr>
        <w:tc>
          <w:tcPr>
            <w:tcW w:w="0" w:type="auto"/>
          </w:tcPr>
          <w:p w14:paraId="666434E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w:t>
            </w:r>
          </w:p>
        </w:tc>
        <w:tc>
          <w:tcPr>
            <w:tcW w:w="0" w:type="auto"/>
          </w:tcPr>
          <w:p w14:paraId="2D4DBEE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5" w:history="1">
              <w:r w:rsidRPr="00EE05AA">
                <w:rPr>
                  <w:rStyle w:val="Hyperlink"/>
                  <w:rFonts w:asciiTheme="majorHAnsi" w:hAnsiTheme="majorHAnsi"/>
                  <w:sz w:val="22"/>
                  <w:szCs w:val="22"/>
                </w:rPr>
                <w:t xml:space="preserve">456 </w:t>
              </w:r>
            </w:hyperlink>
          </w:p>
        </w:tc>
        <w:tc>
          <w:tcPr>
            <w:tcW w:w="0" w:type="auto"/>
          </w:tcPr>
          <w:p w14:paraId="1AA2A1D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75</w:t>
            </w:r>
          </w:p>
        </w:tc>
        <w:tc>
          <w:tcPr>
            <w:tcW w:w="0" w:type="auto"/>
          </w:tcPr>
          <w:p w14:paraId="6C27150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528</w:t>
            </w:r>
          </w:p>
        </w:tc>
        <w:tc>
          <w:tcPr>
            <w:tcW w:w="0" w:type="auto"/>
          </w:tcPr>
          <w:p w14:paraId="325EDE0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1,901</w:t>
            </w:r>
          </w:p>
        </w:tc>
      </w:tr>
      <w:tr w:rsidR="00153816" w:rsidRPr="00EE05AA" w14:paraId="0597D073" w14:textId="77777777" w:rsidTr="006B1E56">
        <w:trPr>
          <w:trHeight w:val="201"/>
        </w:trPr>
        <w:tc>
          <w:tcPr>
            <w:tcW w:w="0" w:type="auto"/>
          </w:tcPr>
          <w:p w14:paraId="0E173C4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w:t>
            </w:r>
          </w:p>
        </w:tc>
        <w:tc>
          <w:tcPr>
            <w:tcW w:w="0" w:type="auto"/>
          </w:tcPr>
          <w:p w14:paraId="2C7104F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6" w:history="1">
              <w:r w:rsidRPr="00EE05AA">
                <w:rPr>
                  <w:rStyle w:val="Hyperlink"/>
                  <w:rFonts w:asciiTheme="majorHAnsi" w:hAnsiTheme="majorHAnsi"/>
                  <w:sz w:val="22"/>
                  <w:szCs w:val="22"/>
                </w:rPr>
                <w:t xml:space="preserve">419 </w:t>
              </w:r>
            </w:hyperlink>
          </w:p>
        </w:tc>
        <w:tc>
          <w:tcPr>
            <w:tcW w:w="0" w:type="auto"/>
          </w:tcPr>
          <w:p w14:paraId="06D7DA3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106</w:t>
            </w:r>
          </w:p>
        </w:tc>
        <w:tc>
          <w:tcPr>
            <w:tcW w:w="0" w:type="auto"/>
          </w:tcPr>
          <w:p w14:paraId="21DB0DB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537</w:t>
            </w:r>
          </w:p>
        </w:tc>
        <w:tc>
          <w:tcPr>
            <w:tcW w:w="0" w:type="auto"/>
          </w:tcPr>
          <w:p w14:paraId="6BAA76A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1,641</w:t>
            </w:r>
          </w:p>
        </w:tc>
      </w:tr>
      <w:tr w:rsidR="00153816" w:rsidRPr="00EE05AA" w14:paraId="4C9DBA8B" w14:textId="77777777" w:rsidTr="006B1E56">
        <w:trPr>
          <w:trHeight w:val="225"/>
        </w:trPr>
        <w:tc>
          <w:tcPr>
            <w:tcW w:w="0" w:type="auto"/>
          </w:tcPr>
          <w:p w14:paraId="2C247A2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w:t>
            </w:r>
          </w:p>
        </w:tc>
        <w:tc>
          <w:tcPr>
            <w:tcW w:w="0" w:type="auto"/>
          </w:tcPr>
          <w:p w14:paraId="0E6F3B1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7" w:history="1">
              <w:r w:rsidRPr="00EE05AA">
                <w:rPr>
                  <w:rStyle w:val="Hyperlink"/>
                  <w:rFonts w:asciiTheme="majorHAnsi" w:hAnsiTheme="majorHAnsi"/>
                  <w:sz w:val="22"/>
                  <w:szCs w:val="22"/>
                </w:rPr>
                <w:t xml:space="preserve">391 </w:t>
              </w:r>
            </w:hyperlink>
          </w:p>
        </w:tc>
        <w:tc>
          <w:tcPr>
            <w:tcW w:w="0" w:type="auto"/>
          </w:tcPr>
          <w:p w14:paraId="5C3A535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110</w:t>
            </w:r>
          </w:p>
        </w:tc>
        <w:tc>
          <w:tcPr>
            <w:tcW w:w="0" w:type="auto"/>
          </w:tcPr>
          <w:p w14:paraId="449C321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552</w:t>
            </w:r>
          </w:p>
        </w:tc>
        <w:tc>
          <w:tcPr>
            <w:tcW w:w="0" w:type="auto"/>
          </w:tcPr>
          <w:p w14:paraId="373A24A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1,664</w:t>
            </w:r>
          </w:p>
        </w:tc>
      </w:tr>
    </w:tbl>
    <w:p w14:paraId="5A0A3B17" w14:textId="77777777" w:rsidR="00153816" w:rsidRPr="00EE05AA" w:rsidRDefault="00153816" w:rsidP="00153816">
      <w:pPr>
        <w:pStyle w:val="BodyText"/>
        <w:rPr>
          <w:rFonts w:asciiTheme="majorHAnsi" w:hAnsiTheme="majorHAnsi"/>
          <w:sz w:val="22"/>
          <w:szCs w:val="22"/>
        </w:rPr>
      </w:pPr>
    </w:p>
    <w:p w14:paraId="5589BDF7" w14:textId="77777777" w:rsidR="00153816" w:rsidRPr="00D74B76" w:rsidRDefault="00153816" w:rsidP="00153816">
      <w:pPr>
        <w:pStyle w:val="BodyText"/>
        <w:rPr>
          <w:rFonts w:asciiTheme="majorHAnsi" w:hAnsiTheme="majorHAnsi"/>
          <w:sz w:val="24"/>
          <w:szCs w:val="24"/>
        </w:rPr>
      </w:pPr>
    </w:p>
    <w:p w14:paraId="20499A0E" w14:textId="77777777" w:rsidR="00153816" w:rsidRPr="00D74B76" w:rsidRDefault="00153816" w:rsidP="00153816">
      <w:pPr>
        <w:pStyle w:val="BodyText"/>
        <w:rPr>
          <w:rFonts w:asciiTheme="majorHAnsi" w:hAnsiTheme="majorHAnsi"/>
          <w:sz w:val="24"/>
          <w:szCs w:val="24"/>
        </w:rPr>
      </w:pPr>
    </w:p>
    <w:p w14:paraId="42A7BF16" w14:textId="77777777" w:rsidR="00153816" w:rsidRPr="00D74B76" w:rsidRDefault="00153816" w:rsidP="00153816">
      <w:pPr>
        <w:pStyle w:val="BodyText"/>
        <w:spacing w:line="360" w:lineRule="auto"/>
        <w:rPr>
          <w:rFonts w:asciiTheme="majorHAnsi" w:eastAsiaTheme="majorEastAsia" w:hAnsiTheme="majorHAnsi" w:cstheme="majorBidi"/>
          <w:sz w:val="24"/>
          <w:szCs w:val="24"/>
        </w:rPr>
      </w:pPr>
      <w:r w:rsidRPr="00D74B76">
        <w:rPr>
          <w:rFonts w:asciiTheme="majorHAnsi" w:hAnsiTheme="majorHAnsi"/>
          <w:sz w:val="24"/>
          <w:szCs w:val="24"/>
        </w:rPr>
        <w:t xml:space="preserve">In terms of expenditure upon children’s social care, as the following table suggests, relates of spend per head of population are higher by a significant amount than the mean for other authorities within the country. </w:t>
      </w:r>
      <w:r w:rsidRPr="00D74B76">
        <w:rPr>
          <w:sz w:val="24"/>
          <w:szCs w:val="24"/>
        </w:rPr>
        <w:br w:type="page"/>
      </w:r>
    </w:p>
    <w:p w14:paraId="385A8B14" w14:textId="77777777" w:rsidR="00153816" w:rsidRPr="00D74B76" w:rsidRDefault="00153816" w:rsidP="00153816">
      <w:pPr>
        <w:pStyle w:val="Heading2"/>
        <w:numPr>
          <w:ilvl w:val="0"/>
          <w:numId w:val="16"/>
        </w:numPr>
        <w:rPr>
          <w:b/>
          <w:bCs/>
          <w:color w:val="000000" w:themeColor="text1"/>
          <w:sz w:val="24"/>
          <w:szCs w:val="24"/>
        </w:rPr>
      </w:pPr>
      <w:r w:rsidRPr="00D74B76">
        <w:rPr>
          <w:b/>
          <w:bCs/>
          <w:color w:val="000000" w:themeColor="text1"/>
          <w:sz w:val="24"/>
          <w:szCs w:val="24"/>
        </w:rPr>
        <w:lastRenderedPageBreak/>
        <w:t>Total expenditure - Children social care per head of population (aged 0-17) (RSX) (from 2013/14 to 2018/19) for Brighton and Hove</w:t>
      </w:r>
    </w:p>
    <w:p w14:paraId="0496612D" w14:textId="77777777" w:rsidR="00153816" w:rsidRPr="00EE05AA" w:rsidRDefault="00153816" w:rsidP="00153816">
      <w:pPr>
        <w:rPr>
          <w:rFonts w:asciiTheme="majorHAnsi" w:hAnsiTheme="majorHAnsi"/>
        </w:rPr>
      </w:pPr>
    </w:p>
    <w:tbl>
      <w:tblPr>
        <w:tblW w:w="263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834"/>
        <w:gridCol w:w="871"/>
        <w:gridCol w:w="1083"/>
        <w:gridCol w:w="1083"/>
        <w:gridCol w:w="1083"/>
      </w:tblGrid>
      <w:tr w:rsidR="00153816" w:rsidRPr="00EE05AA" w14:paraId="5344F4A9" w14:textId="77777777" w:rsidTr="006B1E56">
        <w:trPr>
          <w:trHeight w:val="243"/>
        </w:trPr>
        <w:tc>
          <w:tcPr>
            <w:tcW w:w="0" w:type="auto"/>
            <w:shd w:val="clear" w:color="auto" w:fill="D9D9D9"/>
          </w:tcPr>
          <w:p w14:paraId="181AA5D6"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5158B5D8"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68" w:history="1">
              <w:r w:rsidRPr="00EE05AA">
                <w:rPr>
                  <w:rStyle w:val="Hyperlink"/>
                  <w:rFonts w:asciiTheme="majorHAnsi" w:hAnsiTheme="majorHAnsi"/>
                  <w:sz w:val="22"/>
                  <w:szCs w:val="22"/>
                </w:rPr>
                <w:t xml:space="preserve">Total expenditure - Children social care per head of population (aged 0-17) (RSX) </w:t>
              </w:r>
            </w:hyperlink>
          </w:p>
        </w:tc>
      </w:tr>
      <w:tr w:rsidR="00153816" w:rsidRPr="00EE05AA" w14:paraId="3CED6592" w14:textId="77777777" w:rsidTr="006B1E56">
        <w:trPr>
          <w:trHeight w:val="217"/>
        </w:trPr>
        <w:tc>
          <w:tcPr>
            <w:tcW w:w="0" w:type="auto"/>
            <w:shd w:val="clear" w:color="auto" w:fill="D9D9D9"/>
          </w:tcPr>
          <w:p w14:paraId="176AE564"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7AEEF9AD"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GBP per person</w:t>
            </w:r>
          </w:p>
        </w:tc>
      </w:tr>
      <w:tr w:rsidR="00153816" w:rsidRPr="00EE05AA" w14:paraId="7BA198FD" w14:textId="77777777" w:rsidTr="006B1E56">
        <w:trPr>
          <w:trHeight w:val="243"/>
        </w:trPr>
        <w:tc>
          <w:tcPr>
            <w:tcW w:w="0" w:type="auto"/>
            <w:shd w:val="clear" w:color="auto" w:fill="D9D9D9"/>
          </w:tcPr>
          <w:p w14:paraId="7A5E7876"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154052B0"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5FB0DB50"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0" w:type="auto"/>
            <w:shd w:val="clear" w:color="auto" w:fill="D9D9D9"/>
          </w:tcPr>
          <w:p w14:paraId="1EDA80CE"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0" w:type="auto"/>
            <w:shd w:val="clear" w:color="auto" w:fill="D9D9D9"/>
          </w:tcPr>
          <w:p w14:paraId="3F8C122A"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1AAB24C4" w14:textId="77777777" w:rsidTr="006B1E56">
        <w:trPr>
          <w:trHeight w:val="243"/>
        </w:trPr>
        <w:tc>
          <w:tcPr>
            <w:tcW w:w="0" w:type="auto"/>
          </w:tcPr>
          <w:p w14:paraId="017729E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w:t>
            </w:r>
          </w:p>
        </w:tc>
        <w:tc>
          <w:tcPr>
            <w:tcW w:w="0" w:type="auto"/>
          </w:tcPr>
          <w:p w14:paraId="538F76D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69" w:history="1">
              <w:r w:rsidRPr="00EE05AA">
                <w:rPr>
                  <w:rStyle w:val="Hyperlink"/>
                  <w:rFonts w:asciiTheme="majorHAnsi" w:hAnsiTheme="majorHAnsi"/>
                  <w:sz w:val="22"/>
                  <w:szCs w:val="22"/>
                </w:rPr>
                <w:t xml:space="preserve">1,025.02 </w:t>
              </w:r>
            </w:hyperlink>
          </w:p>
        </w:tc>
        <w:tc>
          <w:tcPr>
            <w:tcW w:w="0" w:type="auto"/>
          </w:tcPr>
          <w:p w14:paraId="41CEA32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0.00</w:t>
            </w:r>
          </w:p>
        </w:tc>
        <w:tc>
          <w:tcPr>
            <w:tcW w:w="0" w:type="auto"/>
          </w:tcPr>
          <w:p w14:paraId="2F55989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318.92</w:t>
            </w:r>
          </w:p>
        </w:tc>
        <w:tc>
          <w:tcPr>
            <w:tcW w:w="0" w:type="auto"/>
          </w:tcPr>
          <w:p w14:paraId="01CC6E2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2,246.28</w:t>
            </w:r>
          </w:p>
        </w:tc>
      </w:tr>
      <w:tr w:rsidR="00153816" w:rsidRPr="00EE05AA" w14:paraId="44E117E5" w14:textId="77777777" w:rsidTr="006B1E56">
        <w:trPr>
          <w:trHeight w:val="217"/>
        </w:trPr>
        <w:tc>
          <w:tcPr>
            <w:tcW w:w="0" w:type="auto"/>
          </w:tcPr>
          <w:p w14:paraId="32AE2F1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w:t>
            </w:r>
          </w:p>
        </w:tc>
        <w:tc>
          <w:tcPr>
            <w:tcW w:w="0" w:type="auto"/>
          </w:tcPr>
          <w:p w14:paraId="5F50BB6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0" w:history="1">
              <w:r w:rsidRPr="00EE05AA">
                <w:rPr>
                  <w:rStyle w:val="Hyperlink"/>
                  <w:rFonts w:asciiTheme="majorHAnsi" w:hAnsiTheme="majorHAnsi"/>
                  <w:sz w:val="22"/>
                  <w:szCs w:val="22"/>
                </w:rPr>
                <w:t xml:space="preserve">1,115.52 </w:t>
              </w:r>
            </w:hyperlink>
          </w:p>
        </w:tc>
        <w:tc>
          <w:tcPr>
            <w:tcW w:w="0" w:type="auto"/>
          </w:tcPr>
          <w:p w14:paraId="37322D8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0.00</w:t>
            </w:r>
          </w:p>
        </w:tc>
        <w:tc>
          <w:tcPr>
            <w:tcW w:w="0" w:type="auto"/>
          </w:tcPr>
          <w:p w14:paraId="1B0A002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367.49</w:t>
            </w:r>
          </w:p>
        </w:tc>
        <w:tc>
          <w:tcPr>
            <w:tcW w:w="0" w:type="auto"/>
          </w:tcPr>
          <w:p w14:paraId="69B44C5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2,257.51</w:t>
            </w:r>
          </w:p>
        </w:tc>
      </w:tr>
      <w:tr w:rsidR="00153816" w:rsidRPr="00EE05AA" w14:paraId="399CA4CA" w14:textId="77777777" w:rsidTr="006B1E56">
        <w:trPr>
          <w:trHeight w:val="243"/>
        </w:trPr>
        <w:tc>
          <w:tcPr>
            <w:tcW w:w="0" w:type="auto"/>
          </w:tcPr>
          <w:p w14:paraId="0A5E7CD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w:t>
            </w:r>
          </w:p>
        </w:tc>
        <w:tc>
          <w:tcPr>
            <w:tcW w:w="0" w:type="auto"/>
          </w:tcPr>
          <w:p w14:paraId="65E7227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1" w:history="1">
              <w:r w:rsidRPr="00EE05AA">
                <w:rPr>
                  <w:rStyle w:val="Hyperlink"/>
                  <w:rFonts w:asciiTheme="majorHAnsi" w:hAnsiTheme="majorHAnsi"/>
                  <w:sz w:val="22"/>
                  <w:szCs w:val="22"/>
                </w:rPr>
                <w:t xml:space="preserve">1,165.60 </w:t>
              </w:r>
            </w:hyperlink>
          </w:p>
        </w:tc>
        <w:tc>
          <w:tcPr>
            <w:tcW w:w="0" w:type="auto"/>
          </w:tcPr>
          <w:p w14:paraId="6F22D09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0.00</w:t>
            </w:r>
          </w:p>
        </w:tc>
        <w:tc>
          <w:tcPr>
            <w:tcW w:w="0" w:type="auto"/>
          </w:tcPr>
          <w:p w14:paraId="25A990D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375.26</w:t>
            </w:r>
          </w:p>
        </w:tc>
        <w:tc>
          <w:tcPr>
            <w:tcW w:w="0" w:type="auto"/>
          </w:tcPr>
          <w:p w14:paraId="752578E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2,732.81</w:t>
            </w:r>
          </w:p>
        </w:tc>
      </w:tr>
      <w:tr w:rsidR="00153816" w:rsidRPr="00EE05AA" w14:paraId="28E1257C" w14:textId="77777777" w:rsidTr="006B1E56">
        <w:trPr>
          <w:trHeight w:val="243"/>
        </w:trPr>
        <w:tc>
          <w:tcPr>
            <w:tcW w:w="0" w:type="auto"/>
          </w:tcPr>
          <w:p w14:paraId="496AB5E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w:t>
            </w:r>
          </w:p>
        </w:tc>
        <w:tc>
          <w:tcPr>
            <w:tcW w:w="0" w:type="auto"/>
          </w:tcPr>
          <w:p w14:paraId="1DD1DEB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2" w:history="1">
              <w:r w:rsidRPr="00EE05AA">
                <w:rPr>
                  <w:rStyle w:val="Hyperlink"/>
                  <w:rFonts w:asciiTheme="majorHAnsi" w:hAnsiTheme="majorHAnsi"/>
                  <w:sz w:val="22"/>
                  <w:szCs w:val="22"/>
                </w:rPr>
                <w:t xml:space="preserve">1,154.95 </w:t>
              </w:r>
            </w:hyperlink>
          </w:p>
        </w:tc>
        <w:tc>
          <w:tcPr>
            <w:tcW w:w="0" w:type="auto"/>
          </w:tcPr>
          <w:p w14:paraId="175A3DB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0.00</w:t>
            </w:r>
          </w:p>
        </w:tc>
        <w:tc>
          <w:tcPr>
            <w:tcW w:w="0" w:type="auto"/>
          </w:tcPr>
          <w:p w14:paraId="7BFD8B0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376.90</w:t>
            </w:r>
          </w:p>
        </w:tc>
        <w:tc>
          <w:tcPr>
            <w:tcW w:w="0" w:type="auto"/>
          </w:tcPr>
          <w:p w14:paraId="48CAD88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2,469.20</w:t>
            </w:r>
          </w:p>
        </w:tc>
      </w:tr>
      <w:tr w:rsidR="00153816" w:rsidRPr="00EE05AA" w14:paraId="39DF952A" w14:textId="77777777" w:rsidTr="006B1E56">
        <w:trPr>
          <w:trHeight w:val="217"/>
        </w:trPr>
        <w:tc>
          <w:tcPr>
            <w:tcW w:w="0" w:type="auto"/>
          </w:tcPr>
          <w:p w14:paraId="6067BE3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w:t>
            </w:r>
          </w:p>
        </w:tc>
        <w:tc>
          <w:tcPr>
            <w:tcW w:w="0" w:type="auto"/>
          </w:tcPr>
          <w:p w14:paraId="06FA333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3" w:history="1">
              <w:r w:rsidRPr="00EE05AA">
                <w:rPr>
                  <w:rStyle w:val="Hyperlink"/>
                  <w:rFonts w:asciiTheme="majorHAnsi" w:hAnsiTheme="majorHAnsi"/>
                  <w:sz w:val="22"/>
                  <w:szCs w:val="22"/>
                </w:rPr>
                <w:t xml:space="preserve">1,133.72 </w:t>
              </w:r>
            </w:hyperlink>
          </w:p>
        </w:tc>
        <w:tc>
          <w:tcPr>
            <w:tcW w:w="0" w:type="auto"/>
          </w:tcPr>
          <w:p w14:paraId="478B343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0.00</w:t>
            </w:r>
          </w:p>
        </w:tc>
        <w:tc>
          <w:tcPr>
            <w:tcW w:w="0" w:type="auto"/>
          </w:tcPr>
          <w:p w14:paraId="425E47F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390.56</w:t>
            </w:r>
          </w:p>
        </w:tc>
        <w:tc>
          <w:tcPr>
            <w:tcW w:w="0" w:type="auto"/>
          </w:tcPr>
          <w:p w14:paraId="35FCAF5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2,286.28</w:t>
            </w:r>
          </w:p>
        </w:tc>
      </w:tr>
      <w:tr w:rsidR="00153816" w:rsidRPr="00EE05AA" w14:paraId="3FE4CC7D" w14:textId="77777777" w:rsidTr="006B1E56">
        <w:trPr>
          <w:trHeight w:val="243"/>
        </w:trPr>
        <w:tc>
          <w:tcPr>
            <w:tcW w:w="0" w:type="auto"/>
          </w:tcPr>
          <w:p w14:paraId="516A501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w:t>
            </w:r>
          </w:p>
        </w:tc>
        <w:tc>
          <w:tcPr>
            <w:tcW w:w="0" w:type="auto"/>
          </w:tcPr>
          <w:p w14:paraId="768E4D8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4" w:history="1">
              <w:r w:rsidRPr="00EE05AA">
                <w:rPr>
                  <w:rStyle w:val="Hyperlink"/>
                  <w:rFonts w:asciiTheme="majorHAnsi" w:hAnsiTheme="majorHAnsi"/>
                  <w:sz w:val="22"/>
                  <w:szCs w:val="22"/>
                </w:rPr>
                <w:t xml:space="preserve">1,171.61 </w:t>
              </w:r>
            </w:hyperlink>
          </w:p>
        </w:tc>
        <w:tc>
          <w:tcPr>
            <w:tcW w:w="0" w:type="auto"/>
          </w:tcPr>
          <w:p w14:paraId="4C420EF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0.00</w:t>
            </w:r>
          </w:p>
        </w:tc>
        <w:tc>
          <w:tcPr>
            <w:tcW w:w="0" w:type="auto"/>
          </w:tcPr>
          <w:p w14:paraId="1D44CD3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410.62</w:t>
            </w:r>
          </w:p>
        </w:tc>
        <w:tc>
          <w:tcPr>
            <w:tcW w:w="0" w:type="auto"/>
          </w:tcPr>
          <w:p w14:paraId="73813BE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2,203.03</w:t>
            </w:r>
          </w:p>
        </w:tc>
      </w:tr>
    </w:tbl>
    <w:p w14:paraId="4785A5B6" w14:textId="77777777" w:rsidR="00153816" w:rsidRPr="00EE05AA" w:rsidRDefault="00153816" w:rsidP="00153816">
      <w:pPr>
        <w:rPr>
          <w:rFonts w:asciiTheme="majorHAnsi" w:hAnsiTheme="majorHAnsi"/>
        </w:rPr>
      </w:pPr>
    </w:p>
    <w:p w14:paraId="6D3309D6"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The rates of expenditure per head of the population appear to have been significantly higher in Brighton and Hove than for the mean of other English authorities, with the former being more than double the latter in each of the years shown above. </w:t>
      </w:r>
    </w:p>
    <w:p w14:paraId="5A0D44F6" w14:textId="77777777" w:rsidR="00153816" w:rsidRPr="00D74B76" w:rsidRDefault="00153816" w:rsidP="00153816">
      <w:pPr>
        <w:rPr>
          <w:rFonts w:asciiTheme="majorHAnsi" w:hAnsiTheme="majorHAnsi"/>
        </w:rPr>
      </w:pPr>
    </w:p>
    <w:p w14:paraId="4A1B72B3" w14:textId="77777777" w:rsidR="00153816" w:rsidRPr="00D74B76" w:rsidRDefault="00153816" w:rsidP="00153816">
      <w:pPr>
        <w:rPr>
          <w:rFonts w:asciiTheme="majorHAnsi" w:hAnsiTheme="majorHAnsi"/>
        </w:rPr>
      </w:pPr>
    </w:p>
    <w:p w14:paraId="1A0C14FF" w14:textId="77777777" w:rsidR="00153816" w:rsidRPr="00D74B76" w:rsidRDefault="00153816" w:rsidP="00153816">
      <w:pPr>
        <w:pStyle w:val="Heading2"/>
        <w:numPr>
          <w:ilvl w:val="0"/>
          <w:numId w:val="16"/>
        </w:numPr>
        <w:rPr>
          <w:b/>
          <w:bCs/>
          <w:color w:val="000000" w:themeColor="text1"/>
          <w:sz w:val="24"/>
          <w:szCs w:val="24"/>
        </w:rPr>
      </w:pPr>
      <w:r w:rsidRPr="00D74B76">
        <w:rPr>
          <w:b/>
          <w:bCs/>
          <w:color w:val="000000" w:themeColor="text1"/>
          <w:sz w:val="24"/>
          <w:szCs w:val="24"/>
        </w:rPr>
        <w:lastRenderedPageBreak/>
        <w:t>Child protection plans:</w:t>
      </w:r>
    </w:p>
    <w:p w14:paraId="5C8E378D" w14:textId="77777777" w:rsidR="00153816" w:rsidRPr="00D74B76" w:rsidRDefault="00153816" w:rsidP="00153816">
      <w:pPr>
        <w:pStyle w:val="Heading2"/>
        <w:rPr>
          <w:b/>
          <w:bCs/>
          <w:sz w:val="24"/>
          <w:szCs w:val="24"/>
        </w:rPr>
      </w:pPr>
      <w:r w:rsidRPr="00D74B76">
        <w:rPr>
          <w:b/>
          <w:bCs/>
          <w:color w:val="000000" w:themeColor="text1"/>
          <w:sz w:val="24"/>
          <w:szCs w:val="24"/>
        </w:rPr>
        <w:t>Children who became subject of a child protection plan starting during the year (number) (from 2013/14 to 2018/19) for Brighton and Hove</w:t>
      </w:r>
    </w:p>
    <w:tbl>
      <w:tblPr>
        <w:tblW w:w="3677"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000" w:firstRow="0" w:lastRow="0" w:firstColumn="0" w:lastColumn="0" w:noHBand="0" w:noVBand="0"/>
      </w:tblPr>
      <w:tblGrid>
        <w:gridCol w:w="834"/>
        <w:gridCol w:w="1116"/>
        <w:gridCol w:w="1682"/>
        <w:gridCol w:w="1585"/>
        <w:gridCol w:w="1693"/>
      </w:tblGrid>
      <w:tr w:rsidR="00153816" w:rsidRPr="00EE05AA" w14:paraId="367143B7" w14:textId="77777777" w:rsidTr="006B1E56">
        <w:trPr>
          <w:trHeight w:val="244"/>
        </w:trPr>
        <w:tc>
          <w:tcPr>
            <w:tcW w:w="0" w:type="auto"/>
            <w:shd w:val="clear" w:color="auto" w:fill="D9D9D9"/>
          </w:tcPr>
          <w:p w14:paraId="56F60FE9"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38CD48DE"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75" w:history="1">
              <w:r w:rsidRPr="00EE05AA">
                <w:rPr>
                  <w:rStyle w:val="Hyperlink"/>
                  <w:rFonts w:asciiTheme="majorHAnsi" w:hAnsiTheme="majorHAnsi"/>
                  <w:sz w:val="22"/>
                  <w:szCs w:val="22"/>
                </w:rPr>
                <w:t xml:space="preserve">Number of children on CPP starting during the year </w:t>
              </w:r>
            </w:hyperlink>
          </w:p>
        </w:tc>
      </w:tr>
      <w:tr w:rsidR="00153816" w:rsidRPr="00EE05AA" w14:paraId="6074AC8A" w14:textId="77777777" w:rsidTr="006B1E56">
        <w:trPr>
          <w:trHeight w:val="217"/>
        </w:trPr>
        <w:tc>
          <w:tcPr>
            <w:tcW w:w="0" w:type="auto"/>
            <w:shd w:val="clear" w:color="auto" w:fill="D9D9D9"/>
          </w:tcPr>
          <w:p w14:paraId="323F9FDE"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4DE4E010"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Children</w:t>
            </w:r>
          </w:p>
        </w:tc>
      </w:tr>
      <w:tr w:rsidR="00153816" w:rsidRPr="00EE05AA" w14:paraId="13EEBA54" w14:textId="77777777" w:rsidTr="006B1E56">
        <w:trPr>
          <w:trHeight w:val="244"/>
        </w:trPr>
        <w:tc>
          <w:tcPr>
            <w:tcW w:w="0" w:type="auto"/>
            <w:shd w:val="clear" w:color="auto" w:fill="D9D9D9"/>
          </w:tcPr>
          <w:p w14:paraId="770C0518"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232C5731"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7719B4CF"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0" w:type="auto"/>
            <w:shd w:val="clear" w:color="auto" w:fill="D9D9D9"/>
          </w:tcPr>
          <w:p w14:paraId="303A6A60"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0" w:type="auto"/>
            <w:shd w:val="clear" w:color="auto" w:fill="D9D9D9"/>
          </w:tcPr>
          <w:p w14:paraId="4C0FC468"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663CA1A5" w14:textId="77777777" w:rsidTr="006B1E56">
        <w:trPr>
          <w:trHeight w:val="244"/>
        </w:trPr>
        <w:tc>
          <w:tcPr>
            <w:tcW w:w="0" w:type="auto"/>
          </w:tcPr>
          <w:p w14:paraId="486ED53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w:t>
            </w:r>
          </w:p>
        </w:tc>
        <w:tc>
          <w:tcPr>
            <w:tcW w:w="0" w:type="auto"/>
          </w:tcPr>
          <w:p w14:paraId="5EF7BC9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6" w:history="1">
              <w:r w:rsidRPr="00EE05AA">
                <w:rPr>
                  <w:rStyle w:val="Hyperlink"/>
                  <w:rFonts w:asciiTheme="majorHAnsi" w:hAnsiTheme="majorHAnsi"/>
                  <w:sz w:val="22"/>
                  <w:szCs w:val="22"/>
                </w:rPr>
                <w:t xml:space="preserve">353 </w:t>
              </w:r>
            </w:hyperlink>
          </w:p>
        </w:tc>
        <w:tc>
          <w:tcPr>
            <w:tcW w:w="0" w:type="auto"/>
          </w:tcPr>
          <w:p w14:paraId="610A932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44</w:t>
            </w:r>
          </w:p>
        </w:tc>
        <w:tc>
          <w:tcPr>
            <w:tcW w:w="0" w:type="auto"/>
          </w:tcPr>
          <w:p w14:paraId="6DBBC54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402</w:t>
            </w:r>
          </w:p>
        </w:tc>
        <w:tc>
          <w:tcPr>
            <w:tcW w:w="0" w:type="auto"/>
          </w:tcPr>
          <w:p w14:paraId="578D63D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1,474</w:t>
            </w:r>
          </w:p>
        </w:tc>
      </w:tr>
      <w:tr w:rsidR="00153816" w:rsidRPr="00EE05AA" w14:paraId="43E042A9" w14:textId="77777777" w:rsidTr="006B1E56">
        <w:trPr>
          <w:trHeight w:val="217"/>
        </w:trPr>
        <w:tc>
          <w:tcPr>
            <w:tcW w:w="0" w:type="auto"/>
          </w:tcPr>
          <w:p w14:paraId="3F12360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w:t>
            </w:r>
          </w:p>
        </w:tc>
        <w:tc>
          <w:tcPr>
            <w:tcW w:w="0" w:type="auto"/>
          </w:tcPr>
          <w:p w14:paraId="38AF3A0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7" w:history="1">
              <w:r w:rsidRPr="00EE05AA">
                <w:rPr>
                  <w:rStyle w:val="Hyperlink"/>
                  <w:rFonts w:asciiTheme="majorHAnsi" w:hAnsiTheme="majorHAnsi"/>
                  <w:sz w:val="22"/>
                  <w:szCs w:val="22"/>
                </w:rPr>
                <w:t xml:space="preserve">371 </w:t>
              </w:r>
            </w:hyperlink>
          </w:p>
        </w:tc>
        <w:tc>
          <w:tcPr>
            <w:tcW w:w="0" w:type="auto"/>
          </w:tcPr>
          <w:p w14:paraId="3552F59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32</w:t>
            </w:r>
          </w:p>
        </w:tc>
        <w:tc>
          <w:tcPr>
            <w:tcW w:w="0" w:type="auto"/>
          </w:tcPr>
          <w:p w14:paraId="4AA3844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417</w:t>
            </w:r>
          </w:p>
        </w:tc>
        <w:tc>
          <w:tcPr>
            <w:tcW w:w="0" w:type="auto"/>
          </w:tcPr>
          <w:p w14:paraId="7E16985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1,838</w:t>
            </w:r>
          </w:p>
        </w:tc>
      </w:tr>
      <w:tr w:rsidR="00153816" w:rsidRPr="00EE05AA" w14:paraId="40E6F9D9" w14:textId="77777777" w:rsidTr="006B1E56">
        <w:trPr>
          <w:trHeight w:val="244"/>
        </w:trPr>
        <w:tc>
          <w:tcPr>
            <w:tcW w:w="0" w:type="auto"/>
          </w:tcPr>
          <w:p w14:paraId="0D6A389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w:t>
            </w:r>
          </w:p>
        </w:tc>
        <w:tc>
          <w:tcPr>
            <w:tcW w:w="0" w:type="auto"/>
          </w:tcPr>
          <w:p w14:paraId="3F0ADC7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8" w:history="1">
              <w:r w:rsidRPr="00EE05AA">
                <w:rPr>
                  <w:rStyle w:val="Hyperlink"/>
                  <w:rFonts w:asciiTheme="majorHAnsi" w:hAnsiTheme="majorHAnsi"/>
                  <w:sz w:val="22"/>
                  <w:szCs w:val="22"/>
                </w:rPr>
                <w:t xml:space="preserve">435 </w:t>
              </w:r>
            </w:hyperlink>
          </w:p>
        </w:tc>
        <w:tc>
          <w:tcPr>
            <w:tcW w:w="0" w:type="auto"/>
          </w:tcPr>
          <w:p w14:paraId="1EB89D9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2B838ED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417</w:t>
            </w:r>
          </w:p>
        </w:tc>
        <w:tc>
          <w:tcPr>
            <w:tcW w:w="0" w:type="auto"/>
          </w:tcPr>
          <w:p w14:paraId="710AA84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1,732</w:t>
            </w:r>
          </w:p>
        </w:tc>
      </w:tr>
      <w:tr w:rsidR="00153816" w:rsidRPr="00EE05AA" w14:paraId="0C7774BE" w14:textId="77777777" w:rsidTr="006B1E56">
        <w:trPr>
          <w:trHeight w:val="244"/>
        </w:trPr>
        <w:tc>
          <w:tcPr>
            <w:tcW w:w="0" w:type="auto"/>
          </w:tcPr>
          <w:p w14:paraId="780BC11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w:t>
            </w:r>
          </w:p>
        </w:tc>
        <w:tc>
          <w:tcPr>
            <w:tcW w:w="0" w:type="auto"/>
          </w:tcPr>
          <w:p w14:paraId="75FB5F3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79" w:history="1">
              <w:r w:rsidRPr="00EE05AA">
                <w:rPr>
                  <w:rStyle w:val="Hyperlink"/>
                  <w:rFonts w:asciiTheme="majorHAnsi" w:hAnsiTheme="majorHAnsi"/>
                  <w:sz w:val="22"/>
                  <w:szCs w:val="22"/>
                </w:rPr>
                <w:t xml:space="preserve">411 </w:t>
              </w:r>
            </w:hyperlink>
          </w:p>
        </w:tc>
        <w:tc>
          <w:tcPr>
            <w:tcW w:w="0" w:type="auto"/>
          </w:tcPr>
          <w:p w14:paraId="4781263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w:t>
            </w:r>
          </w:p>
        </w:tc>
        <w:tc>
          <w:tcPr>
            <w:tcW w:w="0" w:type="auto"/>
          </w:tcPr>
          <w:p w14:paraId="40A2CB7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442</w:t>
            </w:r>
          </w:p>
        </w:tc>
        <w:tc>
          <w:tcPr>
            <w:tcW w:w="0" w:type="auto"/>
          </w:tcPr>
          <w:p w14:paraId="4065624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1,978</w:t>
            </w:r>
          </w:p>
        </w:tc>
      </w:tr>
      <w:tr w:rsidR="00153816" w:rsidRPr="00EE05AA" w14:paraId="1BB60726" w14:textId="77777777" w:rsidTr="006B1E56">
        <w:trPr>
          <w:trHeight w:val="217"/>
        </w:trPr>
        <w:tc>
          <w:tcPr>
            <w:tcW w:w="0" w:type="auto"/>
          </w:tcPr>
          <w:p w14:paraId="5DC64CA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w:t>
            </w:r>
          </w:p>
        </w:tc>
        <w:tc>
          <w:tcPr>
            <w:tcW w:w="0" w:type="auto"/>
          </w:tcPr>
          <w:p w14:paraId="1B7876C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0" w:history="1">
              <w:r w:rsidRPr="00EE05AA">
                <w:rPr>
                  <w:rStyle w:val="Hyperlink"/>
                  <w:rFonts w:asciiTheme="majorHAnsi" w:hAnsiTheme="majorHAnsi"/>
                  <w:sz w:val="22"/>
                  <w:szCs w:val="22"/>
                </w:rPr>
                <w:t xml:space="preserve">424 </w:t>
              </w:r>
            </w:hyperlink>
          </w:p>
        </w:tc>
        <w:tc>
          <w:tcPr>
            <w:tcW w:w="0" w:type="auto"/>
          </w:tcPr>
          <w:p w14:paraId="777128F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4B3CD3C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456</w:t>
            </w:r>
          </w:p>
        </w:tc>
        <w:tc>
          <w:tcPr>
            <w:tcW w:w="0" w:type="auto"/>
          </w:tcPr>
          <w:p w14:paraId="77949F7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1,673</w:t>
            </w:r>
          </w:p>
        </w:tc>
      </w:tr>
      <w:tr w:rsidR="00153816" w:rsidRPr="00EE05AA" w14:paraId="2401AF98" w14:textId="77777777" w:rsidTr="006B1E56">
        <w:trPr>
          <w:trHeight w:val="244"/>
        </w:trPr>
        <w:tc>
          <w:tcPr>
            <w:tcW w:w="0" w:type="auto"/>
          </w:tcPr>
          <w:p w14:paraId="313D06C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w:t>
            </w:r>
          </w:p>
        </w:tc>
        <w:tc>
          <w:tcPr>
            <w:tcW w:w="0" w:type="auto"/>
          </w:tcPr>
          <w:p w14:paraId="0D39250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1" w:history="1">
              <w:r w:rsidRPr="00EE05AA">
                <w:rPr>
                  <w:rStyle w:val="Hyperlink"/>
                  <w:rFonts w:asciiTheme="majorHAnsi" w:hAnsiTheme="majorHAnsi"/>
                  <w:sz w:val="22"/>
                  <w:szCs w:val="22"/>
                </w:rPr>
                <w:t xml:space="preserve">321 </w:t>
              </w:r>
            </w:hyperlink>
          </w:p>
        </w:tc>
        <w:tc>
          <w:tcPr>
            <w:tcW w:w="0" w:type="auto"/>
          </w:tcPr>
          <w:p w14:paraId="644E749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w:t>
            </w:r>
          </w:p>
        </w:tc>
        <w:tc>
          <w:tcPr>
            <w:tcW w:w="0" w:type="auto"/>
          </w:tcPr>
          <w:p w14:paraId="30DC29D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439</w:t>
            </w:r>
          </w:p>
        </w:tc>
        <w:tc>
          <w:tcPr>
            <w:tcW w:w="0" w:type="auto"/>
          </w:tcPr>
          <w:p w14:paraId="093DD42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1,814</w:t>
            </w:r>
          </w:p>
        </w:tc>
      </w:tr>
    </w:tbl>
    <w:p w14:paraId="6FBA2D9D" w14:textId="77777777" w:rsidR="00153816" w:rsidRPr="00EE05AA" w:rsidRDefault="00153816" w:rsidP="00153816">
      <w:pPr>
        <w:pStyle w:val="Heading2"/>
        <w:rPr>
          <w:sz w:val="22"/>
          <w:szCs w:val="22"/>
        </w:rPr>
      </w:pPr>
    </w:p>
    <w:p w14:paraId="5474C03E" w14:textId="77777777" w:rsidR="00153816" w:rsidRPr="00D74B76" w:rsidRDefault="00153816" w:rsidP="00153816">
      <w:pPr>
        <w:spacing w:line="360" w:lineRule="auto"/>
        <w:rPr>
          <w:rFonts w:asciiTheme="majorHAnsi" w:hAnsiTheme="majorHAnsi"/>
        </w:rPr>
      </w:pPr>
      <w:r w:rsidRPr="00D74B76">
        <w:rPr>
          <w:rFonts w:asciiTheme="majorHAnsi" w:hAnsiTheme="majorHAnsi"/>
        </w:rPr>
        <w:t xml:space="preserve">Numbers of children becoming subject to a CP plan have declined in the most recent years after a peak in 2015/16. The national average has, on the other hand, increased since 2013. </w:t>
      </w:r>
    </w:p>
    <w:p w14:paraId="1DFFED0E" w14:textId="77777777" w:rsidR="00153816" w:rsidRPr="00D74B76" w:rsidRDefault="00153816" w:rsidP="00153816">
      <w:pPr>
        <w:spacing w:line="360" w:lineRule="auto"/>
        <w:rPr>
          <w:rFonts w:asciiTheme="majorHAnsi" w:hAnsiTheme="majorHAnsi"/>
        </w:rPr>
      </w:pPr>
    </w:p>
    <w:p w14:paraId="7E360674" w14:textId="77777777" w:rsidR="00153816" w:rsidRDefault="00153816" w:rsidP="00153816">
      <w:pPr>
        <w:spacing w:line="360" w:lineRule="auto"/>
        <w:rPr>
          <w:rFonts w:asciiTheme="majorHAnsi" w:hAnsiTheme="majorHAnsi"/>
        </w:rPr>
      </w:pPr>
    </w:p>
    <w:p w14:paraId="79A27E35" w14:textId="77777777" w:rsidR="00153816" w:rsidRPr="00D74B76" w:rsidRDefault="00153816" w:rsidP="00153816">
      <w:pPr>
        <w:spacing w:line="360" w:lineRule="auto"/>
        <w:rPr>
          <w:rFonts w:asciiTheme="majorHAnsi" w:hAnsiTheme="majorHAnsi"/>
        </w:rPr>
      </w:pPr>
    </w:p>
    <w:p w14:paraId="69D0B103" w14:textId="77777777" w:rsidR="00153816" w:rsidRPr="00D74B76" w:rsidRDefault="00153816" w:rsidP="00153816">
      <w:pPr>
        <w:spacing w:line="360" w:lineRule="auto"/>
        <w:rPr>
          <w:rFonts w:asciiTheme="majorHAnsi" w:hAnsiTheme="majorHAnsi"/>
        </w:rPr>
      </w:pPr>
    </w:p>
    <w:p w14:paraId="0623A060" w14:textId="77777777" w:rsidR="00153816" w:rsidRPr="00D74B76" w:rsidRDefault="00153816" w:rsidP="00153816">
      <w:pPr>
        <w:pStyle w:val="Heading2"/>
        <w:numPr>
          <w:ilvl w:val="0"/>
          <w:numId w:val="16"/>
        </w:numPr>
        <w:rPr>
          <w:b/>
          <w:bCs/>
          <w:color w:val="000000" w:themeColor="text1"/>
          <w:sz w:val="24"/>
          <w:szCs w:val="24"/>
        </w:rPr>
      </w:pPr>
      <w:r w:rsidRPr="00D74B76">
        <w:rPr>
          <w:b/>
          <w:bCs/>
          <w:color w:val="000000" w:themeColor="text1"/>
          <w:sz w:val="24"/>
          <w:szCs w:val="24"/>
        </w:rPr>
        <w:t>Child in need:</w:t>
      </w:r>
    </w:p>
    <w:p w14:paraId="1FCC4603" w14:textId="77777777" w:rsidR="00153816" w:rsidRPr="00D74B76" w:rsidRDefault="00153816" w:rsidP="00153816">
      <w:pPr>
        <w:pStyle w:val="Heading2"/>
        <w:spacing w:line="360" w:lineRule="auto"/>
        <w:rPr>
          <w:color w:val="000000" w:themeColor="text1"/>
          <w:sz w:val="24"/>
          <w:szCs w:val="24"/>
        </w:rPr>
      </w:pPr>
      <w:r w:rsidRPr="00D74B76">
        <w:rPr>
          <w:color w:val="000000" w:themeColor="text1"/>
          <w:sz w:val="24"/>
          <w:szCs w:val="24"/>
        </w:rPr>
        <w:t xml:space="preserve">Child in need, as opposed to child protection, levels have also declined within the local area since 2014/15 although remain higher than the average for all English authorities. </w:t>
      </w:r>
    </w:p>
    <w:p w14:paraId="7AA6B156" w14:textId="77777777" w:rsidR="00153816" w:rsidRPr="00D74B76" w:rsidRDefault="00153816" w:rsidP="00153816">
      <w:pPr>
        <w:pStyle w:val="BodyText"/>
        <w:rPr>
          <w:rFonts w:asciiTheme="majorHAnsi" w:hAnsiTheme="majorHAnsi"/>
          <w:sz w:val="24"/>
          <w:szCs w:val="24"/>
        </w:rPr>
      </w:pPr>
    </w:p>
    <w:p w14:paraId="67EE1EAF" w14:textId="77777777" w:rsidR="00153816" w:rsidRPr="00D74B76" w:rsidRDefault="00153816" w:rsidP="00153816">
      <w:pPr>
        <w:pStyle w:val="Heading2"/>
        <w:rPr>
          <w:b/>
          <w:bCs/>
          <w:color w:val="000000" w:themeColor="text1"/>
          <w:sz w:val="24"/>
          <w:szCs w:val="24"/>
        </w:rPr>
      </w:pPr>
      <w:r w:rsidRPr="00D74B76">
        <w:rPr>
          <w:b/>
          <w:bCs/>
          <w:color w:val="000000" w:themeColor="text1"/>
          <w:sz w:val="24"/>
          <w:szCs w:val="24"/>
        </w:rPr>
        <w:lastRenderedPageBreak/>
        <w:t>Children in need as at 31 March, per 10,000 children (from 2013/14 to 2018/19) for Brighton and Hove</w:t>
      </w:r>
    </w:p>
    <w:tbl>
      <w:tblPr>
        <w:tblW w:w="3288"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834"/>
        <w:gridCol w:w="1025"/>
        <w:gridCol w:w="1458"/>
        <w:gridCol w:w="1397"/>
        <w:gridCol w:w="1465"/>
      </w:tblGrid>
      <w:tr w:rsidR="00153816" w:rsidRPr="00EE05AA" w14:paraId="0889D18E" w14:textId="77777777" w:rsidTr="006B1E56">
        <w:trPr>
          <w:trHeight w:val="243"/>
        </w:trPr>
        <w:tc>
          <w:tcPr>
            <w:tcW w:w="0" w:type="auto"/>
            <w:shd w:val="clear" w:color="auto" w:fill="D9D9D9"/>
          </w:tcPr>
          <w:p w14:paraId="351C15E3"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0" w:type="auto"/>
            <w:gridSpan w:val="4"/>
            <w:shd w:val="clear" w:color="auto" w:fill="D9D9D9"/>
          </w:tcPr>
          <w:p w14:paraId="1180780A"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82" w:history="1">
              <w:r w:rsidRPr="00EE05AA">
                <w:rPr>
                  <w:rStyle w:val="Hyperlink"/>
                  <w:rFonts w:asciiTheme="majorHAnsi" w:hAnsiTheme="majorHAnsi"/>
                  <w:sz w:val="22"/>
                  <w:szCs w:val="22"/>
                </w:rPr>
                <w:t xml:space="preserve">CIN at 31 March, per 10,000 </w:t>
              </w:r>
            </w:hyperlink>
          </w:p>
        </w:tc>
      </w:tr>
      <w:tr w:rsidR="00153816" w:rsidRPr="00EE05AA" w14:paraId="7B430495" w14:textId="77777777" w:rsidTr="006B1E56">
        <w:trPr>
          <w:trHeight w:val="217"/>
        </w:trPr>
        <w:tc>
          <w:tcPr>
            <w:tcW w:w="0" w:type="auto"/>
            <w:shd w:val="clear" w:color="auto" w:fill="D9D9D9"/>
          </w:tcPr>
          <w:p w14:paraId="2A38F7B9" w14:textId="77777777" w:rsidR="00153816" w:rsidRPr="00EE05AA" w:rsidRDefault="00153816" w:rsidP="006B1E56">
            <w:pPr>
              <w:pStyle w:val="BodyText"/>
              <w:keepNext/>
              <w:jc w:val="center"/>
              <w:rPr>
                <w:rFonts w:asciiTheme="majorHAnsi" w:hAnsiTheme="majorHAnsi"/>
                <w:sz w:val="22"/>
                <w:szCs w:val="22"/>
              </w:rPr>
            </w:pPr>
          </w:p>
        </w:tc>
        <w:tc>
          <w:tcPr>
            <w:tcW w:w="0" w:type="auto"/>
            <w:gridSpan w:val="4"/>
            <w:shd w:val="clear" w:color="auto" w:fill="D9D9D9"/>
          </w:tcPr>
          <w:p w14:paraId="6684447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Ratio per 10,000</w:t>
            </w:r>
          </w:p>
        </w:tc>
      </w:tr>
      <w:tr w:rsidR="00153816" w:rsidRPr="00EE05AA" w14:paraId="07AAA99B" w14:textId="77777777" w:rsidTr="006B1E56">
        <w:trPr>
          <w:trHeight w:val="243"/>
        </w:trPr>
        <w:tc>
          <w:tcPr>
            <w:tcW w:w="0" w:type="auto"/>
            <w:shd w:val="clear" w:color="auto" w:fill="D9D9D9"/>
          </w:tcPr>
          <w:p w14:paraId="5513BE4A" w14:textId="77777777" w:rsidR="00153816" w:rsidRPr="00EE05AA" w:rsidRDefault="00153816" w:rsidP="006B1E56">
            <w:pPr>
              <w:pStyle w:val="BodyText"/>
              <w:keepNext/>
              <w:jc w:val="center"/>
              <w:rPr>
                <w:rFonts w:asciiTheme="majorHAnsi" w:hAnsiTheme="majorHAnsi"/>
                <w:sz w:val="22"/>
                <w:szCs w:val="22"/>
              </w:rPr>
            </w:pPr>
          </w:p>
        </w:tc>
        <w:tc>
          <w:tcPr>
            <w:tcW w:w="0" w:type="auto"/>
            <w:shd w:val="clear" w:color="auto" w:fill="D9D9D9"/>
          </w:tcPr>
          <w:p w14:paraId="717807F4"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0" w:type="auto"/>
            <w:shd w:val="clear" w:color="auto" w:fill="D9D9D9"/>
          </w:tcPr>
          <w:p w14:paraId="24D60B23"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0" w:type="auto"/>
            <w:shd w:val="clear" w:color="auto" w:fill="D9D9D9"/>
          </w:tcPr>
          <w:p w14:paraId="4275FBFB"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0" w:type="auto"/>
            <w:shd w:val="clear" w:color="auto" w:fill="D9D9D9"/>
          </w:tcPr>
          <w:p w14:paraId="4350A3DA"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3B030F21" w14:textId="77777777" w:rsidTr="006B1E56">
        <w:trPr>
          <w:trHeight w:val="243"/>
        </w:trPr>
        <w:tc>
          <w:tcPr>
            <w:tcW w:w="0" w:type="auto"/>
          </w:tcPr>
          <w:p w14:paraId="393956C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w:t>
            </w:r>
          </w:p>
        </w:tc>
        <w:tc>
          <w:tcPr>
            <w:tcW w:w="0" w:type="auto"/>
          </w:tcPr>
          <w:p w14:paraId="67C213D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3" w:history="1">
              <w:r w:rsidRPr="00EE05AA">
                <w:rPr>
                  <w:rStyle w:val="Hyperlink"/>
                  <w:rFonts w:asciiTheme="majorHAnsi" w:hAnsiTheme="majorHAnsi"/>
                  <w:sz w:val="22"/>
                  <w:szCs w:val="22"/>
                </w:rPr>
                <w:t xml:space="preserve">355.9 </w:t>
              </w:r>
            </w:hyperlink>
          </w:p>
        </w:tc>
        <w:tc>
          <w:tcPr>
            <w:tcW w:w="0" w:type="auto"/>
          </w:tcPr>
          <w:p w14:paraId="1B7FDDE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149.3</w:t>
            </w:r>
          </w:p>
        </w:tc>
        <w:tc>
          <w:tcPr>
            <w:tcW w:w="0" w:type="auto"/>
          </w:tcPr>
          <w:p w14:paraId="13707C4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371.0</w:t>
            </w:r>
          </w:p>
        </w:tc>
        <w:tc>
          <w:tcPr>
            <w:tcW w:w="0" w:type="auto"/>
          </w:tcPr>
          <w:p w14:paraId="5D5C5A5A"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743.2</w:t>
            </w:r>
          </w:p>
        </w:tc>
      </w:tr>
      <w:tr w:rsidR="00153816" w:rsidRPr="00EE05AA" w14:paraId="53A98B7E" w14:textId="77777777" w:rsidTr="006B1E56">
        <w:trPr>
          <w:trHeight w:val="217"/>
        </w:trPr>
        <w:tc>
          <w:tcPr>
            <w:tcW w:w="0" w:type="auto"/>
          </w:tcPr>
          <w:p w14:paraId="7F68360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w:t>
            </w:r>
          </w:p>
        </w:tc>
        <w:tc>
          <w:tcPr>
            <w:tcW w:w="0" w:type="auto"/>
          </w:tcPr>
          <w:p w14:paraId="5BEECBD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4" w:history="1">
              <w:r w:rsidRPr="00EE05AA">
                <w:rPr>
                  <w:rStyle w:val="Hyperlink"/>
                  <w:rFonts w:asciiTheme="majorHAnsi" w:hAnsiTheme="majorHAnsi"/>
                  <w:sz w:val="22"/>
                  <w:szCs w:val="22"/>
                </w:rPr>
                <w:t xml:space="preserve">485.8 </w:t>
              </w:r>
            </w:hyperlink>
          </w:p>
        </w:tc>
        <w:tc>
          <w:tcPr>
            <w:tcW w:w="0" w:type="auto"/>
          </w:tcPr>
          <w:p w14:paraId="730E0031"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141.9</w:t>
            </w:r>
          </w:p>
        </w:tc>
        <w:tc>
          <w:tcPr>
            <w:tcW w:w="0" w:type="auto"/>
          </w:tcPr>
          <w:p w14:paraId="7B2A4DE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364.3</w:t>
            </w:r>
          </w:p>
        </w:tc>
        <w:tc>
          <w:tcPr>
            <w:tcW w:w="0" w:type="auto"/>
          </w:tcPr>
          <w:p w14:paraId="20FAE17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683.4</w:t>
            </w:r>
          </w:p>
        </w:tc>
      </w:tr>
      <w:tr w:rsidR="00153816" w:rsidRPr="00EE05AA" w14:paraId="775D867F" w14:textId="77777777" w:rsidTr="006B1E56">
        <w:trPr>
          <w:trHeight w:val="243"/>
        </w:trPr>
        <w:tc>
          <w:tcPr>
            <w:tcW w:w="0" w:type="auto"/>
          </w:tcPr>
          <w:p w14:paraId="2A59501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w:t>
            </w:r>
          </w:p>
        </w:tc>
        <w:tc>
          <w:tcPr>
            <w:tcW w:w="0" w:type="auto"/>
          </w:tcPr>
          <w:p w14:paraId="3F63659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5" w:history="1">
              <w:r w:rsidRPr="00EE05AA">
                <w:rPr>
                  <w:rStyle w:val="Hyperlink"/>
                  <w:rFonts w:asciiTheme="majorHAnsi" w:hAnsiTheme="majorHAnsi"/>
                  <w:sz w:val="22"/>
                  <w:szCs w:val="22"/>
                </w:rPr>
                <w:t xml:space="preserve">458.0 </w:t>
              </w:r>
            </w:hyperlink>
          </w:p>
        </w:tc>
        <w:tc>
          <w:tcPr>
            <w:tcW w:w="0" w:type="auto"/>
          </w:tcPr>
          <w:p w14:paraId="633D31C3"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151.0</w:t>
            </w:r>
          </w:p>
        </w:tc>
        <w:tc>
          <w:tcPr>
            <w:tcW w:w="0" w:type="auto"/>
          </w:tcPr>
          <w:p w14:paraId="3DAAF2D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365.7</w:t>
            </w:r>
          </w:p>
        </w:tc>
        <w:tc>
          <w:tcPr>
            <w:tcW w:w="0" w:type="auto"/>
          </w:tcPr>
          <w:p w14:paraId="6233C6C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700.7</w:t>
            </w:r>
          </w:p>
        </w:tc>
      </w:tr>
      <w:tr w:rsidR="00153816" w:rsidRPr="00EE05AA" w14:paraId="722CE107" w14:textId="77777777" w:rsidTr="006B1E56">
        <w:trPr>
          <w:trHeight w:val="243"/>
        </w:trPr>
        <w:tc>
          <w:tcPr>
            <w:tcW w:w="0" w:type="auto"/>
          </w:tcPr>
          <w:p w14:paraId="59FDBDE8"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w:t>
            </w:r>
          </w:p>
        </w:tc>
        <w:tc>
          <w:tcPr>
            <w:tcW w:w="0" w:type="auto"/>
          </w:tcPr>
          <w:p w14:paraId="766B4C36"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6" w:history="1">
              <w:r w:rsidRPr="00EE05AA">
                <w:rPr>
                  <w:rStyle w:val="Hyperlink"/>
                  <w:rFonts w:asciiTheme="majorHAnsi" w:hAnsiTheme="majorHAnsi"/>
                  <w:sz w:val="22"/>
                  <w:szCs w:val="22"/>
                </w:rPr>
                <w:t xml:space="preserve">422.4 </w:t>
              </w:r>
            </w:hyperlink>
          </w:p>
        </w:tc>
        <w:tc>
          <w:tcPr>
            <w:tcW w:w="0" w:type="auto"/>
          </w:tcPr>
          <w:p w14:paraId="0D57B92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175.4</w:t>
            </w:r>
          </w:p>
        </w:tc>
        <w:tc>
          <w:tcPr>
            <w:tcW w:w="0" w:type="auto"/>
          </w:tcPr>
          <w:p w14:paraId="796667E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362.0</w:t>
            </w:r>
          </w:p>
        </w:tc>
        <w:tc>
          <w:tcPr>
            <w:tcW w:w="0" w:type="auto"/>
          </w:tcPr>
          <w:p w14:paraId="68ADE4B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831.2</w:t>
            </w:r>
          </w:p>
        </w:tc>
      </w:tr>
      <w:tr w:rsidR="00153816" w:rsidRPr="00EE05AA" w14:paraId="4456829D" w14:textId="77777777" w:rsidTr="006B1E56">
        <w:trPr>
          <w:trHeight w:val="217"/>
        </w:trPr>
        <w:tc>
          <w:tcPr>
            <w:tcW w:w="0" w:type="auto"/>
          </w:tcPr>
          <w:p w14:paraId="3EC1B67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w:t>
            </w:r>
          </w:p>
        </w:tc>
        <w:tc>
          <w:tcPr>
            <w:tcW w:w="0" w:type="auto"/>
          </w:tcPr>
          <w:p w14:paraId="2882B77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7" w:history="1">
              <w:r w:rsidRPr="00EE05AA">
                <w:rPr>
                  <w:rStyle w:val="Hyperlink"/>
                  <w:rFonts w:asciiTheme="majorHAnsi" w:hAnsiTheme="majorHAnsi"/>
                  <w:sz w:val="22"/>
                  <w:szCs w:val="22"/>
                </w:rPr>
                <w:t xml:space="preserve">426.6 </w:t>
              </w:r>
            </w:hyperlink>
          </w:p>
        </w:tc>
        <w:tc>
          <w:tcPr>
            <w:tcW w:w="0" w:type="auto"/>
          </w:tcPr>
          <w:p w14:paraId="39C468A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153.7</w:t>
            </w:r>
          </w:p>
        </w:tc>
        <w:tc>
          <w:tcPr>
            <w:tcW w:w="0" w:type="auto"/>
          </w:tcPr>
          <w:p w14:paraId="3EF0B40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371.2</w:t>
            </w:r>
          </w:p>
        </w:tc>
        <w:tc>
          <w:tcPr>
            <w:tcW w:w="0" w:type="auto"/>
          </w:tcPr>
          <w:p w14:paraId="3336473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931.5</w:t>
            </w:r>
          </w:p>
        </w:tc>
      </w:tr>
      <w:tr w:rsidR="00153816" w:rsidRPr="00EE05AA" w14:paraId="4BA0086E" w14:textId="77777777" w:rsidTr="006B1E56">
        <w:trPr>
          <w:trHeight w:val="243"/>
        </w:trPr>
        <w:tc>
          <w:tcPr>
            <w:tcW w:w="0" w:type="auto"/>
          </w:tcPr>
          <w:p w14:paraId="45DD8A0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w:t>
            </w:r>
          </w:p>
        </w:tc>
        <w:tc>
          <w:tcPr>
            <w:tcW w:w="0" w:type="auto"/>
          </w:tcPr>
          <w:p w14:paraId="5F04922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88" w:history="1">
              <w:r w:rsidRPr="00EE05AA">
                <w:rPr>
                  <w:rStyle w:val="Hyperlink"/>
                  <w:rFonts w:asciiTheme="majorHAnsi" w:hAnsiTheme="majorHAnsi"/>
                  <w:sz w:val="22"/>
                  <w:szCs w:val="22"/>
                </w:rPr>
                <w:t xml:space="preserve">399.8 </w:t>
              </w:r>
            </w:hyperlink>
          </w:p>
        </w:tc>
        <w:tc>
          <w:tcPr>
            <w:tcW w:w="0" w:type="auto"/>
          </w:tcPr>
          <w:p w14:paraId="4D67755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174.4</w:t>
            </w:r>
          </w:p>
        </w:tc>
        <w:tc>
          <w:tcPr>
            <w:tcW w:w="0" w:type="auto"/>
          </w:tcPr>
          <w:p w14:paraId="150DC45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365.1</w:t>
            </w:r>
          </w:p>
        </w:tc>
        <w:tc>
          <w:tcPr>
            <w:tcW w:w="0" w:type="auto"/>
          </w:tcPr>
          <w:p w14:paraId="4C32958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791.6</w:t>
            </w:r>
          </w:p>
        </w:tc>
      </w:tr>
    </w:tbl>
    <w:p w14:paraId="5570455E" w14:textId="77777777" w:rsidR="00153816" w:rsidRPr="00EE05AA" w:rsidRDefault="00153816" w:rsidP="00153816">
      <w:pPr>
        <w:pStyle w:val="BodyText"/>
        <w:rPr>
          <w:rFonts w:asciiTheme="majorHAnsi" w:hAnsiTheme="majorHAnsi"/>
          <w:sz w:val="22"/>
          <w:szCs w:val="22"/>
        </w:rPr>
      </w:pPr>
    </w:p>
    <w:p w14:paraId="4F220615" w14:textId="77777777" w:rsidR="00153816" w:rsidRPr="00EE05AA" w:rsidRDefault="00153816" w:rsidP="00153816">
      <w:pPr>
        <w:rPr>
          <w:rFonts w:asciiTheme="majorHAnsi" w:hAnsiTheme="majorHAnsi"/>
        </w:rPr>
      </w:pPr>
    </w:p>
    <w:tbl>
      <w:tblPr>
        <w:tblW w:w="3751"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834"/>
        <w:gridCol w:w="978"/>
        <w:gridCol w:w="1455"/>
        <w:gridCol w:w="1454"/>
        <w:gridCol w:w="2328"/>
      </w:tblGrid>
      <w:tr w:rsidR="00153816" w:rsidRPr="00EE05AA" w14:paraId="7F693653" w14:textId="77777777" w:rsidTr="006B1E56">
        <w:trPr>
          <w:trHeight w:val="243"/>
        </w:trPr>
        <w:tc>
          <w:tcPr>
            <w:tcW w:w="0" w:type="auto"/>
            <w:shd w:val="clear" w:color="auto" w:fill="D9D9D9"/>
          </w:tcPr>
          <w:p w14:paraId="675032C9"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Period</w:t>
            </w:r>
          </w:p>
        </w:tc>
        <w:tc>
          <w:tcPr>
            <w:tcW w:w="4481" w:type="pct"/>
            <w:gridSpan w:val="4"/>
            <w:shd w:val="clear" w:color="auto" w:fill="D9D9D9"/>
          </w:tcPr>
          <w:p w14:paraId="0AB93D16"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 xml:space="preserve"> </w:t>
            </w:r>
            <w:hyperlink r:id="rId89" w:history="1">
              <w:r w:rsidRPr="00EE05AA">
                <w:rPr>
                  <w:rStyle w:val="Hyperlink"/>
                  <w:rFonts w:asciiTheme="majorHAnsi" w:hAnsiTheme="majorHAnsi"/>
                  <w:sz w:val="22"/>
                  <w:szCs w:val="22"/>
                </w:rPr>
                <w:t xml:space="preserve">Duration of CIN open case: 2 years plus (%) </w:t>
              </w:r>
            </w:hyperlink>
          </w:p>
        </w:tc>
      </w:tr>
      <w:tr w:rsidR="00153816" w:rsidRPr="00EE05AA" w14:paraId="57E99B54" w14:textId="77777777" w:rsidTr="006B1E56">
        <w:trPr>
          <w:trHeight w:val="217"/>
        </w:trPr>
        <w:tc>
          <w:tcPr>
            <w:tcW w:w="0" w:type="auto"/>
            <w:shd w:val="clear" w:color="auto" w:fill="D9D9D9"/>
          </w:tcPr>
          <w:p w14:paraId="02561D58" w14:textId="77777777" w:rsidR="00153816" w:rsidRPr="00EE05AA" w:rsidRDefault="00153816" w:rsidP="006B1E56">
            <w:pPr>
              <w:pStyle w:val="BodyText"/>
              <w:keepNext/>
              <w:jc w:val="center"/>
              <w:rPr>
                <w:rFonts w:asciiTheme="majorHAnsi" w:hAnsiTheme="majorHAnsi"/>
                <w:sz w:val="22"/>
                <w:szCs w:val="22"/>
              </w:rPr>
            </w:pPr>
          </w:p>
        </w:tc>
        <w:tc>
          <w:tcPr>
            <w:tcW w:w="4481" w:type="pct"/>
            <w:gridSpan w:val="4"/>
            <w:shd w:val="clear" w:color="auto" w:fill="D9D9D9"/>
          </w:tcPr>
          <w:p w14:paraId="3CB070F1"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w:t>
            </w:r>
          </w:p>
        </w:tc>
      </w:tr>
      <w:tr w:rsidR="00153816" w:rsidRPr="00EE05AA" w14:paraId="2B31E44B" w14:textId="77777777" w:rsidTr="006B1E56">
        <w:trPr>
          <w:trHeight w:val="243"/>
        </w:trPr>
        <w:tc>
          <w:tcPr>
            <w:tcW w:w="0" w:type="auto"/>
            <w:shd w:val="clear" w:color="auto" w:fill="D9D9D9"/>
          </w:tcPr>
          <w:p w14:paraId="37F8C4D3" w14:textId="77777777" w:rsidR="00153816" w:rsidRPr="00EE05AA" w:rsidRDefault="00153816" w:rsidP="006B1E56">
            <w:pPr>
              <w:pStyle w:val="BodyText"/>
              <w:keepNext/>
              <w:jc w:val="center"/>
              <w:rPr>
                <w:rFonts w:asciiTheme="majorHAnsi" w:hAnsiTheme="majorHAnsi"/>
                <w:sz w:val="22"/>
                <w:szCs w:val="22"/>
              </w:rPr>
            </w:pPr>
          </w:p>
        </w:tc>
        <w:tc>
          <w:tcPr>
            <w:tcW w:w="706" w:type="pct"/>
            <w:shd w:val="clear" w:color="auto" w:fill="D9D9D9"/>
          </w:tcPr>
          <w:p w14:paraId="5DA3AE4A"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Brighton and Hove</w:t>
            </w:r>
          </w:p>
        </w:tc>
        <w:tc>
          <w:tcPr>
            <w:tcW w:w="1049" w:type="pct"/>
            <w:shd w:val="clear" w:color="auto" w:fill="D9D9D9"/>
          </w:tcPr>
          <w:p w14:paraId="6B622C57"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Minimum for All English authorities</w:t>
            </w:r>
          </w:p>
        </w:tc>
        <w:tc>
          <w:tcPr>
            <w:tcW w:w="1048" w:type="pct"/>
            <w:shd w:val="clear" w:color="auto" w:fill="D9D9D9"/>
          </w:tcPr>
          <w:p w14:paraId="304BEF2E"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Mean for All English authorities</w:t>
            </w:r>
          </w:p>
        </w:tc>
        <w:tc>
          <w:tcPr>
            <w:tcW w:w="1678" w:type="pct"/>
            <w:shd w:val="clear" w:color="auto" w:fill="D9D9D9"/>
          </w:tcPr>
          <w:p w14:paraId="6C238F00" w14:textId="77777777" w:rsidR="00153816" w:rsidRPr="00EE05AA" w:rsidRDefault="00153816" w:rsidP="006B1E56">
            <w:pPr>
              <w:pStyle w:val="BodyText"/>
              <w:keepNext/>
              <w:jc w:val="center"/>
              <w:rPr>
                <w:rFonts w:asciiTheme="majorHAnsi" w:hAnsiTheme="majorHAnsi"/>
                <w:sz w:val="22"/>
                <w:szCs w:val="22"/>
              </w:rPr>
            </w:pPr>
            <w:r w:rsidRPr="00EE05AA">
              <w:rPr>
                <w:rFonts w:asciiTheme="majorHAnsi" w:hAnsiTheme="majorHAnsi"/>
                <w:b/>
                <w:bCs/>
                <w:sz w:val="22"/>
                <w:szCs w:val="22"/>
              </w:rPr>
              <w:t>Maximum for All English authorities</w:t>
            </w:r>
          </w:p>
        </w:tc>
      </w:tr>
      <w:tr w:rsidR="00153816" w:rsidRPr="00EE05AA" w14:paraId="1630A997" w14:textId="77777777" w:rsidTr="006B1E56">
        <w:trPr>
          <w:trHeight w:val="243"/>
        </w:trPr>
        <w:tc>
          <w:tcPr>
            <w:tcW w:w="0" w:type="auto"/>
          </w:tcPr>
          <w:p w14:paraId="340FDD4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2013/14</w:t>
            </w:r>
          </w:p>
        </w:tc>
        <w:tc>
          <w:tcPr>
            <w:tcW w:w="706" w:type="pct"/>
          </w:tcPr>
          <w:p w14:paraId="5FA9947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90" w:history="1">
              <w:r w:rsidRPr="00EE05AA">
                <w:rPr>
                  <w:rStyle w:val="Hyperlink"/>
                  <w:rFonts w:asciiTheme="majorHAnsi" w:hAnsiTheme="majorHAnsi"/>
                  <w:sz w:val="22"/>
                  <w:szCs w:val="22"/>
                </w:rPr>
                <w:t xml:space="preserve">28.5 </w:t>
              </w:r>
            </w:hyperlink>
          </w:p>
        </w:tc>
        <w:tc>
          <w:tcPr>
            <w:tcW w:w="1049" w:type="pct"/>
          </w:tcPr>
          <w:p w14:paraId="07B1434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1048" w:type="pct"/>
          </w:tcPr>
          <w:p w14:paraId="366E5DB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32.5</w:t>
            </w:r>
          </w:p>
        </w:tc>
        <w:tc>
          <w:tcPr>
            <w:tcW w:w="1678" w:type="pct"/>
          </w:tcPr>
          <w:p w14:paraId="430E49C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67.9</w:t>
            </w:r>
          </w:p>
        </w:tc>
      </w:tr>
      <w:tr w:rsidR="00153816" w:rsidRPr="00EE05AA" w14:paraId="2F9A5CE5" w14:textId="77777777" w:rsidTr="006B1E56">
        <w:trPr>
          <w:trHeight w:val="217"/>
        </w:trPr>
        <w:tc>
          <w:tcPr>
            <w:tcW w:w="0" w:type="auto"/>
          </w:tcPr>
          <w:p w14:paraId="63E6C0F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2014/15</w:t>
            </w:r>
          </w:p>
        </w:tc>
        <w:tc>
          <w:tcPr>
            <w:tcW w:w="706" w:type="pct"/>
          </w:tcPr>
          <w:p w14:paraId="2685F65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91" w:history="1">
              <w:r w:rsidRPr="00EE05AA">
                <w:rPr>
                  <w:rStyle w:val="Hyperlink"/>
                  <w:rFonts w:asciiTheme="majorHAnsi" w:hAnsiTheme="majorHAnsi"/>
                  <w:sz w:val="22"/>
                  <w:szCs w:val="22"/>
                </w:rPr>
                <w:t xml:space="preserve">28.7 </w:t>
              </w:r>
            </w:hyperlink>
          </w:p>
        </w:tc>
        <w:tc>
          <w:tcPr>
            <w:tcW w:w="1049" w:type="pct"/>
          </w:tcPr>
          <w:p w14:paraId="7C49027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1.6</w:t>
            </w:r>
          </w:p>
        </w:tc>
        <w:tc>
          <w:tcPr>
            <w:tcW w:w="1048" w:type="pct"/>
          </w:tcPr>
          <w:p w14:paraId="17F036F2"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31.8</w:t>
            </w:r>
          </w:p>
        </w:tc>
        <w:tc>
          <w:tcPr>
            <w:tcW w:w="1678" w:type="pct"/>
          </w:tcPr>
          <w:p w14:paraId="75789FE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54.7</w:t>
            </w:r>
          </w:p>
        </w:tc>
      </w:tr>
      <w:tr w:rsidR="00153816" w:rsidRPr="00EE05AA" w14:paraId="7493CB8B" w14:textId="77777777" w:rsidTr="006B1E56">
        <w:trPr>
          <w:trHeight w:val="243"/>
        </w:trPr>
        <w:tc>
          <w:tcPr>
            <w:tcW w:w="0" w:type="auto"/>
          </w:tcPr>
          <w:p w14:paraId="4FEA953B"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2015/16</w:t>
            </w:r>
          </w:p>
        </w:tc>
        <w:tc>
          <w:tcPr>
            <w:tcW w:w="706" w:type="pct"/>
          </w:tcPr>
          <w:p w14:paraId="756BE2A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92" w:history="1">
              <w:r w:rsidRPr="00EE05AA">
                <w:rPr>
                  <w:rStyle w:val="Hyperlink"/>
                  <w:rFonts w:asciiTheme="majorHAnsi" w:hAnsiTheme="majorHAnsi"/>
                  <w:sz w:val="22"/>
                  <w:szCs w:val="22"/>
                </w:rPr>
                <w:t xml:space="preserve">31.4 </w:t>
              </w:r>
            </w:hyperlink>
          </w:p>
        </w:tc>
        <w:tc>
          <w:tcPr>
            <w:tcW w:w="1049" w:type="pct"/>
          </w:tcPr>
          <w:p w14:paraId="46E41CC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0.0</w:t>
            </w:r>
          </w:p>
        </w:tc>
        <w:tc>
          <w:tcPr>
            <w:tcW w:w="1048" w:type="pct"/>
          </w:tcPr>
          <w:p w14:paraId="3830E9F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31.2</w:t>
            </w:r>
          </w:p>
        </w:tc>
        <w:tc>
          <w:tcPr>
            <w:tcW w:w="1678" w:type="pct"/>
          </w:tcPr>
          <w:p w14:paraId="478C833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48.5</w:t>
            </w:r>
          </w:p>
        </w:tc>
      </w:tr>
      <w:tr w:rsidR="00153816" w:rsidRPr="00EE05AA" w14:paraId="7090B46D" w14:textId="77777777" w:rsidTr="006B1E56">
        <w:trPr>
          <w:trHeight w:val="243"/>
        </w:trPr>
        <w:tc>
          <w:tcPr>
            <w:tcW w:w="0" w:type="auto"/>
          </w:tcPr>
          <w:p w14:paraId="64F4948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2016/17</w:t>
            </w:r>
          </w:p>
        </w:tc>
        <w:tc>
          <w:tcPr>
            <w:tcW w:w="706" w:type="pct"/>
          </w:tcPr>
          <w:p w14:paraId="15F2AA6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93" w:history="1">
              <w:r w:rsidRPr="00EE05AA">
                <w:rPr>
                  <w:rStyle w:val="Hyperlink"/>
                  <w:rFonts w:asciiTheme="majorHAnsi" w:hAnsiTheme="majorHAnsi"/>
                  <w:sz w:val="22"/>
                  <w:szCs w:val="22"/>
                </w:rPr>
                <w:t xml:space="preserve">28.2 </w:t>
              </w:r>
            </w:hyperlink>
          </w:p>
        </w:tc>
        <w:tc>
          <w:tcPr>
            <w:tcW w:w="1049" w:type="pct"/>
          </w:tcPr>
          <w:p w14:paraId="1980F7F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16.2</w:t>
            </w:r>
          </w:p>
        </w:tc>
        <w:tc>
          <w:tcPr>
            <w:tcW w:w="1048" w:type="pct"/>
          </w:tcPr>
          <w:p w14:paraId="03B53C1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30.8</w:t>
            </w:r>
          </w:p>
        </w:tc>
        <w:tc>
          <w:tcPr>
            <w:tcW w:w="1678" w:type="pct"/>
          </w:tcPr>
          <w:p w14:paraId="5ACFCA4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46.1</w:t>
            </w:r>
          </w:p>
        </w:tc>
      </w:tr>
      <w:tr w:rsidR="00153816" w:rsidRPr="00EE05AA" w14:paraId="5584F468" w14:textId="77777777" w:rsidTr="006B1E56">
        <w:trPr>
          <w:trHeight w:val="217"/>
        </w:trPr>
        <w:tc>
          <w:tcPr>
            <w:tcW w:w="0" w:type="auto"/>
          </w:tcPr>
          <w:p w14:paraId="7A66AC3C"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2017/18</w:t>
            </w:r>
          </w:p>
        </w:tc>
        <w:tc>
          <w:tcPr>
            <w:tcW w:w="706" w:type="pct"/>
          </w:tcPr>
          <w:p w14:paraId="4FEA76B4"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94" w:history="1">
              <w:r w:rsidRPr="00EE05AA">
                <w:rPr>
                  <w:rStyle w:val="Hyperlink"/>
                  <w:rFonts w:asciiTheme="majorHAnsi" w:hAnsiTheme="majorHAnsi"/>
                  <w:sz w:val="22"/>
                  <w:szCs w:val="22"/>
                </w:rPr>
                <w:t xml:space="preserve">26.6 </w:t>
              </w:r>
            </w:hyperlink>
          </w:p>
        </w:tc>
        <w:tc>
          <w:tcPr>
            <w:tcW w:w="1049" w:type="pct"/>
          </w:tcPr>
          <w:p w14:paraId="70D8A96F"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18.4</w:t>
            </w:r>
          </w:p>
        </w:tc>
        <w:tc>
          <w:tcPr>
            <w:tcW w:w="1048" w:type="pct"/>
          </w:tcPr>
          <w:p w14:paraId="42E9038E"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31.3</w:t>
            </w:r>
          </w:p>
        </w:tc>
        <w:tc>
          <w:tcPr>
            <w:tcW w:w="1678" w:type="pct"/>
          </w:tcPr>
          <w:p w14:paraId="003A3EB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67.6</w:t>
            </w:r>
          </w:p>
        </w:tc>
      </w:tr>
      <w:tr w:rsidR="00153816" w:rsidRPr="00EE05AA" w14:paraId="1B66B5BD" w14:textId="77777777" w:rsidTr="006B1E56">
        <w:trPr>
          <w:trHeight w:val="243"/>
        </w:trPr>
        <w:tc>
          <w:tcPr>
            <w:tcW w:w="0" w:type="auto"/>
          </w:tcPr>
          <w:p w14:paraId="68A11245"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2018/19</w:t>
            </w:r>
          </w:p>
        </w:tc>
        <w:tc>
          <w:tcPr>
            <w:tcW w:w="706" w:type="pct"/>
          </w:tcPr>
          <w:p w14:paraId="0646DD27"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 xml:space="preserve"> </w:t>
            </w:r>
            <w:hyperlink r:id="rId95" w:history="1">
              <w:r w:rsidRPr="00EE05AA">
                <w:rPr>
                  <w:rStyle w:val="Hyperlink"/>
                  <w:rFonts w:asciiTheme="majorHAnsi" w:hAnsiTheme="majorHAnsi"/>
                  <w:sz w:val="22"/>
                  <w:szCs w:val="22"/>
                </w:rPr>
                <w:t xml:space="preserve">25.3 </w:t>
              </w:r>
            </w:hyperlink>
          </w:p>
        </w:tc>
        <w:tc>
          <w:tcPr>
            <w:tcW w:w="1049" w:type="pct"/>
          </w:tcPr>
          <w:p w14:paraId="679ECCD9"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14.8</w:t>
            </w:r>
          </w:p>
        </w:tc>
        <w:tc>
          <w:tcPr>
            <w:tcW w:w="1048" w:type="pct"/>
          </w:tcPr>
          <w:p w14:paraId="52259D10"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32.1</w:t>
            </w:r>
          </w:p>
        </w:tc>
        <w:tc>
          <w:tcPr>
            <w:tcW w:w="1678" w:type="pct"/>
          </w:tcPr>
          <w:p w14:paraId="08074ECD" w14:textId="77777777" w:rsidR="00153816" w:rsidRPr="00EE05AA" w:rsidRDefault="00153816" w:rsidP="006B1E56">
            <w:pPr>
              <w:pStyle w:val="BodyText"/>
              <w:keepNext/>
              <w:rPr>
                <w:rFonts w:asciiTheme="majorHAnsi" w:hAnsiTheme="majorHAnsi"/>
                <w:sz w:val="22"/>
                <w:szCs w:val="22"/>
              </w:rPr>
            </w:pPr>
            <w:r w:rsidRPr="00EE05AA">
              <w:rPr>
                <w:rFonts w:asciiTheme="majorHAnsi" w:hAnsiTheme="majorHAnsi"/>
                <w:sz w:val="22"/>
                <w:szCs w:val="22"/>
              </w:rPr>
              <w:t>78.6</w:t>
            </w:r>
          </w:p>
        </w:tc>
      </w:tr>
    </w:tbl>
    <w:p w14:paraId="4E56CE07" w14:textId="77777777" w:rsidR="00153816" w:rsidRPr="00EE05AA" w:rsidRDefault="00153816" w:rsidP="00153816">
      <w:pPr>
        <w:pStyle w:val="BodyText"/>
        <w:rPr>
          <w:rFonts w:asciiTheme="majorHAnsi" w:hAnsiTheme="majorHAnsi"/>
          <w:sz w:val="22"/>
          <w:szCs w:val="22"/>
        </w:rPr>
      </w:pPr>
    </w:p>
    <w:p w14:paraId="732ACF7C" w14:textId="77777777" w:rsidR="00153816" w:rsidRPr="00D74B76" w:rsidRDefault="00153816" w:rsidP="00153816">
      <w:pPr>
        <w:pStyle w:val="BodyText"/>
        <w:spacing w:line="360" w:lineRule="auto"/>
        <w:rPr>
          <w:rFonts w:asciiTheme="majorHAnsi" w:hAnsiTheme="majorHAnsi"/>
          <w:sz w:val="24"/>
          <w:szCs w:val="24"/>
        </w:rPr>
      </w:pPr>
      <w:r w:rsidRPr="00D74B76">
        <w:rPr>
          <w:rFonts w:asciiTheme="majorHAnsi" w:hAnsiTheme="majorHAnsi"/>
          <w:sz w:val="24"/>
          <w:szCs w:val="24"/>
        </w:rPr>
        <w:t xml:space="preserve">In addition to points already made, as the table above illustrates, child in need cases that have been open for 2 or more years have declined in the local area since 2013/14 whilst national averages have remained fairly stable. Whilst these abstracted levels of statistics do not tell us why or how the levels have declined, for now, it is the apparent trend that is noteworthy. Indeed, as the chart below shows very clearly, this reduced level of CIN cases open for two or more years, places Brighton and Hoven in the very lowest quartile of local authorities (shown by the red vertical line). </w:t>
      </w:r>
    </w:p>
    <w:p w14:paraId="4C66CC4B" w14:textId="77777777" w:rsidR="00153816" w:rsidRPr="00EE05AA" w:rsidRDefault="00153816" w:rsidP="00153816">
      <w:pPr>
        <w:pStyle w:val="BodyText"/>
        <w:rPr>
          <w:rFonts w:asciiTheme="majorHAnsi" w:hAnsiTheme="majorHAnsi"/>
          <w:sz w:val="22"/>
          <w:szCs w:val="22"/>
        </w:rPr>
      </w:pPr>
      <w:r w:rsidRPr="00D74B76">
        <w:rPr>
          <w:rFonts w:asciiTheme="majorHAnsi" w:hAnsiTheme="majorHAnsi"/>
          <w:sz w:val="24"/>
          <w:szCs w:val="24"/>
        </w:rPr>
        <w:br w:type="page"/>
      </w:r>
      <w:r>
        <w:rPr>
          <w:rFonts w:asciiTheme="majorHAnsi" w:hAnsiTheme="majorHAnsi"/>
          <w:noProof/>
          <w:sz w:val="22"/>
          <w:szCs w:val="22"/>
        </w:rPr>
        <w:lastRenderedPageBreak/>
        <mc:AlternateContent>
          <mc:Choice Requires="wps">
            <w:drawing>
              <wp:anchor distT="0" distB="0" distL="114300" distR="114300" simplePos="0" relativeHeight="251662336" behindDoc="0" locked="0" layoutInCell="1" allowOverlap="1" wp14:anchorId="344D0C9A" wp14:editId="0AE92E10">
                <wp:simplePos x="0" y="0"/>
                <wp:positionH relativeFrom="column">
                  <wp:posOffset>406400</wp:posOffset>
                </wp:positionH>
                <wp:positionV relativeFrom="paragraph">
                  <wp:posOffset>2751667</wp:posOffset>
                </wp:positionV>
                <wp:extent cx="5012267" cy="1397000"/>
                <wp:effectExtent l="0" t="0" r="17145" b="12700"/>
                <wp:wrapNone/>
                <wp:docPr id="109" name="Text Box 109"/>
                <wp:cNvGraphicFramePr/>
                <a:graphic xmlns:a="http://schemas.openxmlformats.org/drawingml/2006/main">
                  <a:graphicData uri="http://schemas.microsoft.com/office/word/2010/wordprocessingShape">
                    <wps:wsp>
                      <wps:cNvSpPr txBox="1"/>
                      <wps:spPr>
                        <a:xfrm>
                          <a:off x="0" y="0"/>
                          <a:ext cx="5012267" cy="1397000"/>
                        </a:xfrm>
                        <a:prstGeom prst="rect">
                          <a:avLst/>
                        </a:prstGeom>
                        <a:solidFill>
                          <a:schemeClr val="lt1"/>
                        </a:solidFill>
                        <a:ln w="6350">
                          <a:solidFill>
                            <a:prstClr val="black"/>
                          </a:solidFill>
                        </a:ln>
                      </wps:spPr>
                      <wps:txbx>
                        <w:txbxContent>
                          <w:p w14:paraId="426D3886" w14:textId="42F6BB9D" w:rsidR="006B1E56" w:rsidRDefault="006B1E56" w:rsidP="00153816">
                            <w:r>
                              <w:rPr>
                                <w:noProof/>
                              </w:rPr>
                              <w:drawing>
                                <wp:inline distT="0" distB="0" distL="0" distR="0" wp14:anchorId="0E885B57" wp14:editId="2024E243">
                                  <wp:extent cx="4410075" cy="1299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10075" cy="1299210"/>
                                          </a:xfrm>
                                          <a:prstGeom prst="rect">
                                            <a:avLst/>
                                          </a:prstGeom>
                                        </pic:spPr>
                                      </pic:pic>
                                    </a:graphicData>
                                  </a:graphic>
                                </wp:inline>
                              </w:drawing>
                            </w:r>
                            <w:r>
                              <w:rPr>
                                <w:noProof/>
                              </w:rPr>
                              <w:drawing>
                                <wp:inline distT="0" distB="0" distL="0" distR="0" wp14:anchorId="731E4CA9" wp14:editId="5D6CA772">
                                  <wp:extent cx="4916518" cy="142996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alphaModFix amt="83000"/>
                                          </a:blip>
                                          <a:stretch>
                                            <a:fillRect/>
                                          </a:stretch>
                                        </pic:blipFill>
                                        <pic:spPr>
                                          <a:xfrm>
                                            <a:off x="0" y="0"/>
                                            <a:ext cx="5032402" cy="1463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D0C9A" id="Text Box 109" o:spid="_x0000_s1027" type="#_x0000_t202" style="position:absolute;margin-left:32pt;margin-top:216.65pt;width:394.65pt;height:11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" fillcolor="white [3201]" strokeweight=".5pt">
                <v:textbox>
                  <w:txbxContent>
                    <w:p w14:paraId="426D3886" w14:textId="42F6BB9D" w:rsidR="006B1E56" w:rsidRDefault="006B1E56" w:rsidP="00153816">
                      <w:r>
                        <w:rPr>
                          <w:noProof/>
                        </w:rPr>
                        <w:drawing>
                          <wp:inline distT="0" distB="0" distL="0" distR="0" wp14:anchorId="0E885B57" wp14:editId="2024E243">
                            <wp:extent cx="4410075" cy="1299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10075" cy="1299210"/>
                                    </a:xfrm>
                                    <a:prstGeom prst="rect">
                                      <a:avLst/>
                                    </a:prstGeom>
                                  </pic:spPr>
                                </pic:pic>
                              </a:graphicData>
                            </a:graphic>
                          </wp:inline>
                        </w:drawing>
                      </w:r>
                      <w:r>
                        <w:rPr>
                          <w:noProof/>
                        </w:rPr>
                        <w:drawing>
                          <wp:inline distT="0" distB="0" distL="0" distR="0" wp14:anchorId="731E4CA9" wp14:editId="5D6CA772">
                            <wp:extent cx="4916518" cy="142996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alphaModFix amt="83000"/>
                                    </a:blip>
                                    <a:stretch>
                                      <a:fillRect/>
                                    </a:stretch>
                                  </pic:blipFill>
                                  <pic:spPr>
                                    <a:xfrm>
                                      <a:off x="0" y="0"/>
                                      <a:ext cx="5032402" cy="1463670"/>
                                    </a:xfrm>
                                    <a:prstGeom prst="rect">
                                      <a:avLst/>
                                    </a:prstGeom>
                                  </pic:spPr>
                                </pic:pic>
                              </a:graphicData>
                            </a:graphic>
                          </wp:inline>
                        </w:drawing>
                      </w:r>
                    </w:p>
                  </w:txbxContent>
                </v:textbox>
              </v:shape>
            </w:pict>
          </mc:Fallback>
        </mc:AlternateContent>
      </w:r>
      <w:r w:rsidRPr="00EE05AA">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2E98E58B" wp14:editId="3AAAD525">
                <wp:simplePos x="0" y="0"/>
                <wp:positionH relativeFrom="column">
                  <wp:posOffset>2420832</wp:posOffset>
                </wp:positionH>
                <wp:positionV relativeFrom="paragraph">
                  <wp:posOffset>1018540</wp:posOffset>
                </wp:positionV>
                <wp:extent cx="45719" cy="708025"/>
                <wp:effectExtent l="63500" t="0" r="43815" b="41275"/>
                <wp:wrapNone/>
                <wp:docPr id="7" name="Straight Arrow Connector 7"/>
                <wp:cNvGraphicFramePr/>
                <a:graphic xmlns:a="http://schemas.openxmlformats.org/drawingml/2006/main">
                  <a:graphicData uri="http://schemas.microsoft.com/office/word/2010/wordprocessingShape">
                    <wps:wsp>
                      <wps:cNvCnPr/>
                      <wps:spPr>
                        <a:xfrm flipH="1">
                          <a:off x="0" y="0"/>
                          <a:ext cx="45719" cy="708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11846" id="Straight Arrow Connector 7" o:spid="_x0000_s1026" type="#_x0000_t32" style="position:absolute;margin-left:190.6pt;margin-top:80.2pt;width:3.6pt;height:55.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" strokecolor="#4579b8 [3044]">
                <v:stroke endarrow="block"/>
              </v:shape>
            </w:pict>
          </mc:Fallback>
        </mc:AlternateContent>
      </w:r>
      <w:r w:rsidRPr="00EE05AA">
        <w:rPr>
          <w:rFonts w:asciiTheme="majorHAnsi" w:hAnsiTheme="majorHAnsi"/>
          <w:noProof/>
          <w:sz w:val="22"/>
          <w:szCs w:val="22"/>
        </w:rPr>
        <w:drawing>
          <wp:inline distT="0" distB="0" distL="0" distR="0" wp14:anchorId="46BFC981" wp14:editId="46A22444">
            <wp:extent cx="5579533" cy="5293403"/>
            <wp:effectExtent l="0" t="0" r="0" b="254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8"/>
                    <a:srcRect/>
                    <a:stretch>
                      <a:fillRect/>
                    </a:stretch>
                  </pic:blipFill>
                  <pic:spPr bwMode="auto">
                    <a:xfrm>
                      <a:off x="0" y="0"/>
                      <a:ext cx="5610881" cy="5323144"/>
                    </a:xfrm>
                    <a:prstGeom prst="rect">
                      <a:avLst/>
                    </a:prstGeom>
                  </pic:spPr>
                </pic:pic>
              </a:graphicData>
            </a:graphic>
          </wp:inline>
        </w:drawing>
      </w:r>
    </w:p>
    <w:p w14:paraId="1EB84A04" w14:textId="77777777" w:rsidR="00153816" w:rsidRPr="00D74B76" w:rsidRDefault="00153816" w:rsidP="00153816">
      <w:pPr>
        <w:pStyle w:val="Heading2"/>
        <w:rPr>
          <w:sz w:val="22"/>
          <w:szCs w:val="22"/>
        </w:rPr>
      </w:pPr>
    </w:p>
    <w:p w14:paraId="1F6C1FEC" w14:textId="77777777" w:rsidR="4698F31B" w:rsidRDefault="4698F31B" w:rsidP="00301C85">
      <w:pPr>
        <w:rPr>
          <w:rFonts w:eastAsia="Arial"/>
          <w:color w:val="000000" w:themeColor="text1"/>
          <w:sz w:val="27"/>
          <w:szCs w:val="27"/>
        </w:rPr>
      </w:pPr>
    </w:p>
    <w:sectPr w:rsidR="4698F31B" w:rsidSect="00A909E0">
      <w:headerReference w:type="default" r:id="rId99"/>
      <w:footerReference w:type="even" r:id="rId100"/>
      <w:footerReference w:type="default" r:id="rId101"/>
      <w:pgSz w:w="11900" w:h="16840"/>
      <w:pgMar w:top="1247" w:right="1247" w:bottom="1247" w:left="1247" w:header="1440" w:footer="1440" w:gutter="0"/>
      <w:pgNumType w:start="1"/>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1A604" w14:textId="77777777" w:rsidR="00397611" w:rsidRDefault="00397611" w:rsidP="00E41174">
      <w:r>
        <w:separator/>
      </w:r>
    </w:p>
  </w:endnote>
  <w:endnote w:type="continuationSeparator" w:id="0">
    <w:p w14:paraId="1C31B7B5" w14:textId="77777777" w:rsidR="00397611" w:rsidRDefault="00397611" w:rsidP="00E4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GillSans">
    <w:altName w:val="Cambria"/>
    <w:charset w:val="B1"/>
    <w:family w:val="swiss"/>
    <w:pitch w:val="variable"/>
    <w:sig w:usb0="80000A67" w:usb1="00000000" w:usb2="00000000" w:usb3="00000000" w:csb0="000001F7"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838" w14:textId="77777777" w:rsidR="006B1E56" w:rsidRDefault="006B1E56" w:rsidP="00A909E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B49FB5" w14:textId="77777777" w:rsidR="006B1E56" w:rsidRDefault="006B1E56" w:rsidP="00E41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3CAD" w14:textId="77083603" w:rsidR="006B1E56" w:rsidRPr="001B6D10" w:rsidRDefault="006B1E56" w:rsidP="00A909E0">
    <w:pPr>
      <w:pStyle w:val="Footer"/>
      <w:framePr w:wrap="none" w:vAnchor="text" w:hAnchor="margin" w:xAlign="right" w:y="1"/>
      <w:rPr>
        <w:rStyle w:val="PageNumber"/>
        <w:rFonts w:ascii="Calibri" w:hAnsi="Calibri" w:cstheme="majorHAnsi"/>
        <w:sz w:val="18"/>
        <w:szCs w:val="18"/>
      </w:rPr>
    </w:pPr>
    <w:r w:rsidRPr="001B6D10">
      <w:rPr>
        <w:rStyle w:val="PageNumber"/>
        <w:rFonts w:ascii="Calibri" w:hAnsi="Calibri" w:cstheme="majorHAnsi"/>
        <w:sz w:val="18"/>
        <w:szCs w:val="18"/>
      </w:rPr>
      <w:fldChar w:fldCharType="begin"/>
    </w:r>
    <w:r w:rsidRPr="001B6D10">
      <w:rPr>
        <w:rStyle w:val="PageNumber"/>
        <w:rFonts w:ascii="Calibri" w:hAnsi="Calibri" w:cstheme="majorHAnsi"/>
        <w:sz w:val="18"/>
        <w:szCs w:val="18"/>
      </w:rPr>
      <w:instrText xml:space="preserve">PAGE  </w:instrText>
    </w:r>
    <w:r w:rsidRPr="001B6D10">
      <w:rPr>
        <w:rStyle w:val="PageNumber"/>
        <w:rFonts w:ascii="Calibri" w:hAnsi="Calibri" w:cstheme="majorHAnsi"/>
        <w:sz w:val="18"/>
        <w:szCs w:val="18"/>
      </w:rPr>
      <w:fldChar w:fldCharType="separate"/>
    </w:r>
    <w:r w:rsidRPr="001B6D10">
      <w:rPr>
        <w:rStyle w:val="PageNumber"/>
        <w:rFonts w:ascii="Calibri" w:hAnsi="Calibri" w:cstheme="majorHAnsi"/>
        <w:noProof/>
        <w:sz w:val="18"/>
        <w:szCs w:val="18"/>
      </w:rPr>
      <w:t>16</w:t>
    </w:r>
    <w:r w:rsidRPr="001B6D10">
      <w:rPr>
        <w:rStyle w:val="PageNumber"/>
        <w:rFonts w:ascii="Calibri" w:hAnsi="Calibri" w:cstheme="majorHAnsi"/>
        <w:sz w:val="18"/>
        <w:szCs w:val="18"/>
      </w:rPr>
      <w:fldChar w:fldCharType="end"/>
    </w:r>
  </w:p>
  <w:p w14:paraId="51E3F89B" w14:textId="61602289" w:rsidR="006B1E56" w:rsidRDefault="006B1E56" w:rsidP="00E41A0C">
    <w:pPr>
      <w:pStyle w:val="Footer"/>
      <w:ind w:right="360"/>
    </w:pPr>
    <w:r w:rsidRPr="00301C85">
      <w:rPr>
        <w:rFonts w:asciiTheme="majorHAnsi" w:hAnsiTheme="majorHAnsi"/>
        <w:b/>
        <w:bCs/>
        <w:noProof/>
      </w:rPr>
      <w:drawing>
        <wp:inline distT="0" distB="0" distL="0" distR="0" wp14:anchorId="4019C74C" wp14:editId="7AB3A1E3">
          <wp:extent cx="768486" cy="640406"/>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stretch>
                    <a:fillRect/>
                  </a:stretch>
                </pic:blipFill>
                <pic:spPr>
                  <a:xfrm>
                    <a:off x="0" y="0"/>
                    <a:ext cx="777381" cy="647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7D3AD" w14:textId="77777777" w:rsidR="00397611" w:rsidRDefault="00397611" w:rsidP="00E41174">
      <w:r>
        <w:separator/>
      </w:r>
    </w:p>
  </w:footnote>
  <w:footnote w:type="continuationSeparator" w:id="0">
    <w:p w14:paraId="75A279CB" w14:textId="77777777" w:rsidR="00397611" w:rsidRDefault="00397611" w:rsidP="00E41174">
      <w:r>
        <w:continuationSeparator/>
      </w:r>
    </w:p>
  </w:footnote>
  <w:footnote w:id="1">
    <w:p w14:paraId="6F715881" w14:textId="3E8FEC59" w:rsidR="006B1E56" w:rsidRPr="00301C85" w:rsidRDefault="006B1E56">
      <w:pPr>
        <w:pStyle w:val="FootnoteText"/>
        <w:rPr>
          <w:rFonts w:asciiTheme="majorHAnsi" w:hAnsiTheme="majorHAnsi" w:cstheme="majorHAnsi"/>
          <w:sz w:val="22"/>
          <w:szCs w:val="22"/>
        </w:rPr>
      </w:pPr>
      <w:r w:rsidRPr="00301C85">
        <w:rPr>
          <w:rStyle w:val="FootnoteReference"/>
          <w:rFonts w:asciiTheme="majorHAnsi" w:hAnsiTheme="majorHAnsi" w:cstheme="majorHAnsi"/>
          <w:sz w:val="22"/>
          <w:szCs w:val="22"/>
        </w:rPr>
        <w:footnoteRef/>
      </w:r>
      <w:r w:rsidRPr="00301C85">
        <w:rPr>
          <w:rFonts w:asciiTheme="majorHAnsi" w:hAnsiTheme="majorHAnsi" w:cstheme="majorHAnsi"/>
          <w:sz w:val="22"/>
          <w:szCs w:val="22"/>
        </w:rPr>
        <w:t xml:space="preserve"> The authors have used the term ‘Intimate Partner Violence’ (IPV) here in place of ‘Domestic Abuse’ in recognition of the fact that especially for the age group being considered within this project, traditional understandings of the term ‘domestic abuse’ may be overly restrictive within this context. </w:t>
      </w:r>
    </w:p>
  </w:footnote>
  <w:footnote w:id="2">
    <w:p w14:paraId="52FD80BA" w14:textId="063E028D" w:rsidR="006B1E56" w:rsidRPr="00301C85" w:rsidRDefault="006B1E56" w:rsidP="00301C85">
      <w:pPr>
        <w:pStyle w:val="NormalWeb"/>
        <w:spacing w:before="100" w:beforeAutospacing="1" w:after="100" w:afterAutospacing="1"/>
        <w:rPr>
          <w:rFonts w:ascii="Calibri" w:hAnsi="Calibri" w:cs="Calibri"/>
          <w:sz w:val="22"/>
          <w:szCs w:val="22"/>
        </w:rPr>
      </w:pPr>
      <w:r w:rsidRPr="00301C85">
        <w:rPr>
          <w:rStyle w:val="FootnoteReference"/>
          <w:rFonts w:ascii="Calibri" w:hAnsi="Calibri" w:cs="Calibri"/>
          <w:sz w:val="22"/>
          <w:szCs w:val="22"/>
        </w:rPr>
        <w:footnoteRef/>
      </w:r>
      <w:r w:rsidRPr="00301C85">
        <w:rPr>
          <w:rFonts w:ascii="Calibri" w:hAnsi="Calibri" w:cs="Calibri"/>
          <w:sz w:val="22"/>
          <w:szCs w:val="22"/>
        </w:rPr>
        <w:t xml:space="preserve"> Referral Orders were introduced in England and Wales via the Youth Justice and Criminal Evidence Act </w:t>
      </w:r>
      <w:r w:rsidRPr="00301C85">
        <w:rPr>
          <w:rFonts w:ascii="Calibri" w:hAnsi="Calibri" w:cs="Calibri"/>
          <w:sz w:val="22"/>
          <w:szCs w:val="22"/>
        </w:rPr>
        <w:t xml:space="preserve">1999, and are now provided for in the Powers of Criminal Courts Sentencing Act (2000). </w:t>
      </w:r>
    </w:p>
    <w:p w14:paraId="7FBAEC74" w14:textId="62403091" w:rsidR="006B1E56" w:rsidRDefault="006B1E56">
      <w:pPr>
        <w:pStyle w:val="FootnoteText"/>
      </w:pPr>
    </w:p>
  </w:footnote>
  <w:footnote w:id="3">
    <w:p w14:paraId="4564E15D" w14:textId="77777777" w:rsidR="006B1E56" w:rsidRDefault="006B1E56" w:rsidP="00301C85">
      <w:pPr>
        <w:pStyle w:val="FootnoteText"/>
      </w:pPr>
      <w:r>
        <w:rPr>
          <w:rStyle w:val="FootnoteReference"/>
        </w:rPr>
        <w:footnoteRef/>
      </w:r>
      <w:r>
        <w:t xml:space="preserve"> </w:t>
      </w:r>
      <w:r w:rsidRPr="00B86D76">
        <w:t>https://www.signsofsafety.net/what-is-sofs/</w:t>
      </w:r>
    </w:p>
  </w:footnote>
  <w:footnote w:id="4">
    <w:p w14:paraId="47C1013F" w14:textId="49D35995" w:rsidR="006B1E56" w:rsidRDefault="006B1E56">
      <w:pPr>
        <w:pStyle w:val="FootnoteText"/>
      </w:pPr>
      <w:r>
        <w:rPr>
          <w:rStyle w:val="FootnoteReference"/>
        </w:rPr>
        <w:footnoteRef/>
      </w:r>
      <w:r>
        <w:t xml:space="preserve"> </w:t>
      </w:r>
      <w:r w:rsidRPr="00D00DD0">
        <w:rPr>
          <w:rFonts w:asciiTheme="majorHAnsi" w:hAnsiTheme="majorHAnsi" w:cstheme="majorHAnsi"/>
        </w:rPr>
        <w:t xml:space="preserve">Following completion of this project, it has been brought to the attention of the authors of this report that the city council has adopted a Contextualised Safeguarding approach. Further information about this approach can be found at: </w:t>
      </w:r>
      <w:hyperlink r:id="rId1" w:history="1">
        <w:r w:rsidRPr="00D00DD0">
          <w:rPr>
            <w:rStyle w:val="Hyperlink"/>
            <w:rFonts w:asciiTheme="majorHAnsi" w:hAnsiTheme="majorHAnsi" w:cstheme="majorHAnsi"/>
          </w:rPr>
          <w:t>https://www.csnetwork.org.uk/en/about/what-is-contextual-safeguarding</w:t>
        </w:r>
      </w:hyperlink>
      <w:r w:rsidRPr="00D00DD0">
        <w:rPr>
          <w:rFonts w:asciiTheme="majorHAnsi" w:hAnsiTheme="majorHAnsi" w:cstheme="majorHAnsi"/>
        </w:rPr>
        <w:t>, and it is important other local services also further develop their contextualised or person-in-environment approaches.</w:t>
      </w:r>
    </w:p>
  </w:footnote>
  <w:footnote w:id="5">
    <w:p w14:paraId="453DF91D" w14:textId="6F086B9D" w:rsidR="006B1E56" w:rsidRPr="00D00DD0" w:rsidRDefault="006B1E56">
      <w:pPr>
        <w:pStyle w:val="FootnoteText"/>
        <w:rPr>
          <w:rFonts w:asciiTheme="majorHAnsi" w:hAnsiTheme="majorHAnsi" w:cstheme="majorHAnsi"/>
        </w:rPr>
      </w:pPr>
      <w:r w:rsidRPr="00D00DD0">
        <w:rPr>
          <w:rStyle w:val="FootnoteReference"/>
          <w:rFonts w:asciiTheme="majorHAnsi" w:hAnsiTheme="majorHAnsi" w:cstheme="majorHAnsi"/>
        </w:rPr>
        <w:footnoteRef/>
      </w:r>
      <w:r w:rsidRPr="00D00DD0">
        <w:rPr>
          <w:rFonts w:asciiTheme="majorHAnsi" w:hAnsiTheme="majorHAnsi" w:cstheme="majorHAnsi"/>
        </w:rPr>
        <w:t xml:space="preserve"> Following completion of this report, the authors have been made aware that the co-location of services was a deliberate attempt to improve integration </w:t>
      </w:r>
      <w:r w:rsidRPr="00D00DD0">
        <w:rPr>
          <w:rFonts w:asciiTheme="majorHAnsi" w:hAnsiTheme="majorHAnsi" w:cstheme="majorHAnsi"/>
        </w:rPr>
        <w:t xml:space="preserve">of,  and avoid fragmentation between, services. </w:t>
      </w:r>
      <w:r w:rsidR="0080697E">
        <w:rPr>
          <w:rFonts w:asciiTheme="majorHAnsi" w:hAnsiTheme="majorHAnsi" w:cstheme="majorHAnsi"/>
        </w:rPr>
        <w:t>We also understand that the services have recently received significant positive feedback during their most recent inspection, so our comments above reflect the views of the young men sharing this view rather than any wider perspective.</w:t>
      </w:r>
    </w:p>
  </w:footnote>
  <w:footnote w:id="6">
    <w:p w14:paraId="55F5B977" w14:textId="77777777" w:rsidR="006B1E56" w:rsidRDefault="006B1E56" w:rsidP="006C15DA">
      <w:pPr>
        <w:pStyle w:val="FootnoteText"/>
      </w:pPr>
      <w:r w:rsidRPr="00D00DD0">
        <w:rPr>
          <w:rStyle w:val="FootnoteReference"/>
          <w:rFonts w:asciiTheme="majorHAnsi" w:hAnsiTheme="majorHAnsi" w:cstheme="majorHAnsi"/>
        </w:rPr>
        <w:footnoteRef/>
      </w:r>
      <w:r w:rsidRPr="00D00DD0">
        <w:rPr>
          <w:rFonts w:asciiTheme="majorHAnsi" w:hAnsiTheme="majorHAnsi" w:cstheme="majorHAnsi"/>
        </w:rPr>
        <w:t xml:space="preserve"> In this chapter, ‘practitioner’ refers to all the service / organisation workers we interviewed, including service leads and organisation managers</w:t>
      </w:r>
      <w:r w:rsidRPr="003A79C9">
        <w:rPr>
          <w:rFonts w:asciiTheme="majorHAnsi" w:hAnsiTheme="majorHAnsi" w:cstheme="majorHAnsi"/>
        </w:rPr>
        <w:t xml:space="preserve"> </w:t>
      </w:r>
    </w:p>
  </w:footnote>
  <w:footnote w:id="7">
    <w:p w14:paraId="4511108D" w14:textId="5DBFCCE3" w:rsidR="006B1E56" w:rsidRPr="00584D13" w:rsidRDefault="006B1E56">
      <w:pPr>
        <w:pStyle w:val="FootnoteText"/>
        <w:rPr>
          <w:rFonts w:asciiTheme="majorHAnsi" w:hAnsiTheme="majorHAnsi" w:cstheme="majorHAnsi"/>
        </w:rPr>
      </w:pPr>
      <w:r>
        <w:rPr>
          <w:rStyle w:val="FootnoteReference"/>
        </w:rPr>
        <w:footnoteRef/>
      </w:r>
      <w:r>
        <w:t xml:space="preserve"> </w:t>
      </w:r>
      <w:r w:rsidRPr="00B05269">
        <w:rPr>
          <w:rFonts w:asciiTheme="majorHAnsi" w:hAnsiTheme="majorHAnsi" w:cstheme="majorHAnsi"/>
        </w:rPr>
        <w:t xml:space="preserve">Trauma informed approaches were referred to by practitioners and young men interviewed in positive terms and this has informed the recommendations in this report. </w:t>
      </w:r>
      <w:r w:rsidRPr="00B05269">
        <w:rPr>
          <w:rFonts w:asciiTheme="majorHAnsi" w:hAnsiTheme="majorHAnsi" w:cstheme="majorHAnsi"/>
        </w:rPr>
        <w:t xml:space="preserve">Subsequent to completion of this report, we have been made aware of the fact that many relevant practitioners within BHCC have completed trauma informed training. This is a positive development but needs to underpin all practice by all service providers working with young men given the prevalence of trauma in the histories of those interviewed.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BB9A" w14:textId="74F67782" w:rsidR="006B1E56" w:rsidRDefault="006B1E56" w:rsidP="009F44E7">
    <w:pPr>
      <w:pStyle w:val="Header"/>
      <w:jc w:val="right"/>
    </w:pPr>
    <w:r>
      <w:rPr>
        <w:noProof/>
      </w:rPr>
      <w:drawing>
        <wp:inline distT="0" distB="0" distL="0" distR="0" wp14:anchorId="22BA9A64" wp14:editId="7FB02956">
          <wp:extent cx="1831924" cy="434448"/>
          <wp:effectExtent l="0" t="0" r="0" b="3810"/>
          <wp:docPr id="8" name="Picture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pic:nvPicPr>
                <pic:blipFill>
                  <a:blip r:embed="rId1">
                    <a:extLst>
                      <a:ext uri="{28A0092B-C50C-407E-A947-70E740481C1C}">
                        <a14:useLocalDpi xmlns:a14="http://schemas.microsoft.com/office/drawing/2010/main" val="0"/>
                      </a:ext>
                    </a:extLst>
                  </a:blip>
                  <a:stretch>
                    <a:fillRect/>
                  </a:stretch>
                </pic:blipFill>
                <pic:spPr>
                  <a:xfrm>
                    <a:off x="0" y="0"/>
                    <a:ext cx="1831924" cy="434448"/>
                  </a:xfrm>
                  <a:prstGeom prst="rect">
                    <a:avLst/>
                  </a:prstGeom>
                </pic:spPr>
              </pic:pic>
            </a:graphicData>
          </a:graphic>
        </wp:inline>
      </w:drawing>
    </w:r>
  </w:p>
  <w:p w14:paraId="2E539CE1" w14:textId="77777777" w:rsidR="006B1E56" w:rsidRDefault="006B1E56" w:rsidP="009F44E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EC9"/>
    <w:multiLevelType w:val="hybridMultilevel"/>
    <w:tmpl w:val="870E9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F7229"/>
    <w:multiLevelType w:val="hybridMultilevel"/>
    <w:tmpl w:val="D42E62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F6963"/>
    <w:multiLevelType w:val="hybridMultilevel"/>
    <w:tmpl w:val="B84E37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6560A"/>
    <w:multiLevelType w:val="hybridMultilevel"/>
    <w:tmpl w:val="E7BE1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303FD6"/>
    <w:multiLevelType w:val="hybridMultilevel"/>
    <w:tmpl w:val="4DEE3C6C"/>
    <w:lvl w:ilvl="0" w:tplc="08090005">
      <w:start w:val="1"/>
      <w:numFmt w:val="bullet"/>
      <w:lvlText w:val=""/>
      <w:lvlJc w:val="left"/>
      <w:pPr>
        <w:ind w:left="720" w:hanging="360"/>
      </w:pPr>
      <w:rPr>
        <w:rFonts w:ascii="Wingdings" w:hAnsi="Wingdings" w:hint="default"/>
      </w:rPr>
    </w:lvl>
    <w:lvl w:ilvl="1" w:tplc="BE2E7FF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A3D8A"/>
    <w:multiLevelType w:val="hybridMultilevel"/>
    <w:tmpl w:val="9AB6C32A"/>
    <w:lvl w:ilvl="0" w:tplc="8A6A8AF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8555F"/>
    <w:multiLevelType w:val="multilevel"/>
    <w:tmpl w:val="F5A6AAF8"/>
    <w:lvl w:ilvl="0">
      <w:start w:val="6"/>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BB939E4"/>
    <w:multiLevelType w:val="multilevel"/>
    <w:tmpl w:val="26A02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C85D19"/>
    <w:multiLevelType w:val="hybridMultilevel"/>
    <w:tmpl w:val="030AE840"/>
    <w:lvl w:ilvl="0" w:tplc="0BE26088">
      <w:start w:val="1"/>
      <w:numFmt w:val="lowerRoman"/>
      <w:lvlText w:val="%1."/>
      <w:lvlJc w:val="left"/>
      <w:pPr>
        <w:ind w:left="929"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1DE05354"/>
    <w:multiLevelType w:val="hybridMultilevel"/>
    <w:tmpl w:val="D9A8C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481211"/>
    <w:multiLevelType w:val="hybridMultilevel"/>
    <w:tmpl w:val="AC9A2034"/>
    <w:lvl w:ilvl="0" w:tplc="C0B0928E">
      <w:start w:val="1"/>
      <w:numFmt w:val="bullet"/>
      <w:lvlText w:val="•"/>
      <w:lvlJc w:val="left"/>
      <w:pPr>
        <w:tabs>
          <w:tab w:val="num" w:pos="720"/>
        </w:tabs>
        <w:ind w:left="720" w:hanging="360"/>
      </w:pPr>
      <w:rPr>
        <w:rFonts w:ascii="Arial" w:hAnsi="Arial" w:hint="default"/>
      </w:rPr>
    </w:lvl>
    <w:lvl w:ilvl="1" w:tplc="CBD8AB66" w:tentative="1">
      <w:start w:val="1"/>
      <w:numFmt w:val="bullet"/>
      <w:lvlText w:val="•"/>
      <w:lvlJc w:val="left"/>
      <w:pPr>
        <w:tabs>
          <w:tab w:val="num" w:pos="1440"/>
        </w:tabs>
        <w:ind w:left="1440" w:hanging="360"/>
      </w:pPr>
      <w:rPr>
        <w:rFonts w:ascii="Arial" w:hAnsi="Arial" w:hint="default"/>
      </w:rPr>
    </w:lvl>
    <w:lvl w:ilvl="2" w:tplc="DBD4D3D8" w:tentative="1">
      <w:start w:val="1"/>
      <w:numFmt w:val="bullet"/>
      <w:lvlText w:val="•"/>
      <w:lvlJc w:val="left"/>
      <w:pPr>
        <w:tabs>
          <w:tab w:val="num" w:pos="2160"/>
        </w:tabs>
        <w:ind w:left="2160" w:hanging="360"/>
      </w:pPr>
      <w:rPr>
        <w:rFonts w:ascii="Arial" w:hAnsi="Arial" w:hint="default"/>
      </w:rPr>
    </w:lvl>
    <w:lvl w:ilvl="3" w:tplc="AA980DCE" w:tentative="1">
      <w:start w:val="1"/>
      <w:numFmt w:val="bullet"/>
      <w:lvlText w:val="•"/>
      <w:lvlJc w:val="left"/>
      <w:pPr>
        <w:tabs>
          <w:tab w:val="num" w:pos="2880"/>
        </w:tabs>
        <w:ind w:left="2880" w:hanging="360"/>
      </w:pPr>
      <w:rPr>
        <w:rFonts w:ascii="Arial" w:hAnsi="Arial" w:hint="default"/>
      </w:rPr>
    </w:lvl>
    <w:lvl w:ilvl="4" w:tplc="05C6E392" w:tentative="1">
      <w:start w:val="1"/>
      <w:numFmt w:val="bullet"/>
      <w:lvlText w:val="•"/>
      <w:lvlJc w:val="left"/>
      <w:pPr>
        <w:tabs>
          <w:tab w:val="num" w:pos="3600"/>
        </w:tabs>
        <w:ind w:left="3600" w:hanging="360"/>
      </w:pPr>
      <w:rPr>
        <w:rFonts w:ascii="Arial" w:hAnsi="Arial" w:hint="default"/>
      </w:rPr>
    </w:lvl>
    <w:lvl w:ilvl="5" w:tplc="0788543C" w:tentative="1">
      <w:start w:val="1"/>
      <w:numFmt w:val="bullet"/>
      <w:lvlText w:val="•"/>
      <w:lvlJc w:val="left"/>
      <w:pPr>
        <w:tabs>
          <w:tab w:val="num" w:pos="4320"/>
        </w:tabs>
        <w:ind w:left="4320" w:hanging="360"/>
      </w:pPr>
      <w:rPr>
        <w:rFonts w:ascii="Arial" w:hAnsi="Arial" w:hint="default"/>
      </w:rPr>
    </w:lvl>
    <w:lvl w:ilvl="6" w:tplc="E3887B86" w:tentative="1">
      <w:start w:val="1"/>
      <w:numFmt w:val="bullet"/>
      <w:lvlText w:val="•"/>
      <w:lvlJc w:val="left"/>
      <w:pPr>
        <w:tabs>
          <w:tab w:val="num" w:pos="5040"/>
        </w:tabs>
        <w:ind w:left="5040" w:hanging="360"/>
      </w:pPr>
      <w:rPr>
        <w:rFonts w:ascii="Arial" w:hAnsi="Arial" w:hint="default"/>
      </w:rPr>
    </w:lvl>
    <w:lvl w:ilvl="7" w:tplc="3B1C2C08" w:tentative="1">
      <w:start w:val="1"/>
      <w:numFmt w:val="bullet"/>
      <w:lvlText w:val="•"/>
      <w:lvlJc w:val="left"/>
      <w:pPr>
        <w:tabs>
          <w:tab w:val="num" w:pos="5760"/>
        </w:tabs>
        <w:ind w:left="5760" w:hanging="360"/>
      </w:pPr>
      <w:rPr>
        <w:rFonts w:ascii="Arial" w:hAnsi="Arial" w:hint="default"/>
      </w:rPr>
    </w:lvl>
    <w:lvl w:ilvl="8" w:tplc="AC9A2A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0F04C9"/>
    <w:multiLevelType w:val="hybridMultilevel"/>
    <w:tmpl w:val="F4065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60597"/>
    <w:multiLevelType w:val="hybridMultilevel"/>
    <w:tmpl w:val="2A2C5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44106"/>
    <w:multiLevelType w:val="multilevel"/>
    <w:tmpl w:val="959288D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A4F4FE1"/>
    <w:multiLevelType w:val="hybridMultilevel"/>
    <w:tmpl w:val="1A82358E"/>
    <w:lvl w:ilvl="0" w:tplc="0809000F">
      <w:start w:val="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7B6A5E"/>
    <w:multiLevelType w:val="hybridMultilevel"/>
    <w:tmpl w:val="42EA7DDA"/>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EB6898"/>
    <w:multiLevelType w:val="multilevel"/>
    <w:tmpl w:val="1B725F40"/>
    <w:lvl w:ilvl="0">
      <w:start w:val="2"/>
      <w:numFmt w:val="decimal"/>
      <w:lvlText w:val="%1"/>
      <w:lvlJc w:val="left"/>
      <w:pPr>
        <w:ind w:left="435" w:hanging="435"/>
      </w:pPr>
      <w:rPr>
        <w:rFonts w:hint="default"/>
        <w:u w:val="single"/>
      </w:rPr>
    </w:lvl>
    <w:lvl w:ilvl="1">
      <w:start w:val="4"/>
      <w:numFmt w:val="decimal"/>
      <w:lvlText w:val="%1.%2"/>
      <w:lvlJc w:val="left"/>
      <w:pPr>
        <w:ind w:left="435" w:hanging="435"/>
      </w:pPr>
      <w:rPr>
        <w:rFonts w:hint="default"/>
        <w:u w:val="single"/>
      </w:rPr>
    </w:lvl>
    <w:lvl w:ilvl="2">
      <w:start w:val="1"/>
      <w:numFmt w:val="decimal"/>
      <w:lvlText w:val="%1.%2.%3"/>
      <w:lvlJc w:val="left"/>
      <w:pPr>
        <w:ind w:left="720" w:hanging="720"/>
      </w:pPr>
      <w:rPr>
        <w:rFonts w:hint="default"/>
        <w:i/>
        <w:i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7" w15:restartNumberingAfterBreak="0">
    <w:nsid w:val="2DEE4595"/>
    <w:multiLevelType w:val="hybridMultilevel"/>
    <w:tmpl w:val="45E24368"/>
    <w:lvl w:ilvl="0" w:tplc="BE2E7FF6">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F6B564F"/>
    <w:multiLevelType w:val="hybridMultilevel"/>
    <w:tmpl w:val="D8DE536E"/>
    <w:lvl w:ilvl="0" w:tplc="44E0BA92">
      <w:start w:val="1"/>
      <w:numFmt w:val="bullet"/>
      <w:lvlText w:val="-"/>
      <w:lvlJc w:val="left"/>
      <w:pPr>
        <w:ind w:left="1440" w:hanging="360"/>
      </w:pPr>
      <w:rPr>
        <w:rFonts w:ascii="Calibri" w:hAnsi="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7882DDC"/>
    <w:multiLevelType w:val="hybridMultilevel"/>
    <w:tmpl w:val="FED2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A0E0D"/>
    <w:multiLevelType w:val="hybridMultilevel"/>
    <w:tmpl w:val="8A8E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874BD"/>
    <w:multiLevelType w:val="hybridMultilevel"/>
    <w:tmpl w:val="8C12FD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1767C3"/>
    <w:multiLevelType w:val="hybridMultilevel"/>
    <w:tmpl w:val="EBD6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B7267"/>
    <w:multiLevelType w:val="hybridMultilevel"/>
    <w:tmpl w:val="4C189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0793B"/>
    <w:multiLevelType w:val="hybridMultilevel"/>
    <w:tmpl w:val="5D3E7D44"/>
    <w:lvl w:ilvl="0" w:tplc="FDE27010">
      <w:start w:val="1"/>
      <w:numFmt w:val="bullet"/>
      <w:lvlText w:val=""/>
      <w:lvlJc w:val="left"/>
      <w:pPr>
        <w:ind w:left="720" w:hanging="360"/>
      </w:pPr>
      <w:rPr>
        <w:rFonts w:ascii="Symbol" w:hAnsi="Symbol" w:hint="default"/>
      </w:rPr>
    </w:lvl>
    <w:lvl w:ilvl="1" w:tplc="710411E6">
      <w:start w:val="1"/>
      <w:numFmt w:val="bullet"/>
      <w:lvlText w:val="o"/>
      <w:lvlJc w:val="left"/>
      <w:pPr>
        <w:ind w:left="1440" w:hanging="360"/>
      </w:pPr>
      <w:rPr>
        <w:rFonts w:ascii="Courier New" w:hAnsi="Courier New" w:hint="default"/>
      </w:rPr>
    </w:lvl>
    <w:lvl w:ilvl="2" w:tplc="0D5E520A">
      <w:start w:val="1"/>
      <w:numFmt w:val="bullet"/>
      <w:lvlText w:val=""/>
      <w:lvlJc w:val="left"/>
      <w:pPr>
        <w:ind w:left="2160" w:hanging="360"/>
      </w:pPr>
      <w:rPr>
        <w:rFonts w:ascii="Wingdings" w:hAnsi="Wingdings" w:hint="default"/>
      </w:rPr>
    </w:lvl>
    <w:lvl w:ilvl="3" w:tplc="DBC6C622">
      <w:start w:val="1"/>
      <w:numFmt w:val="bullet"/>
      <w:lvlText w:val=""/>
      <w:lvlJc w:val="left"/>
      <w:pPr>
        <w:ind w:left="2880" w:hanging="360"/>
      </w:pPr>
      <w:rPr>
        <w:rFonts w:ascii="Symbol" w:hAnsi="Symbol" w:hint="default"/>
      </w:rPr>
    </w:lvl>
    <w:lvl w:ilvl="4" w:tplc="9C2845C8">
      <w:start w:val="1"/>
      <w:numFmt w:val="bullet"/>
      <w:lvlText w:val="o"/>
      <w:lvlJc w:val="left"/>
      <w:pPr>
        <w:ind w:left="3600" w:hanging="360"/>
      </w:pPr>
      <w:rPr>
        <w:rFonts w:ascii="Courier New" w:hAnsi="Courier New" w:hint="default"/>
      </w:rPr>
    </w:lvl>
    <w:lvl w:ilvl="5" w:tplc="8466D1B0">
      <w:start w:val="1"/>
      <w:numFmt w:val="bullet"/>
      <w:lvlText w:val=""/>
      <w:lvlJc w:val="left"/>
      <w:pPr>
        <w:ind w:left="4320" w:hanging="360"/>
      </w:pPr>
      <w:rPr>
        <w:rFonts w:ascii="Wingdings" w:hAnsi="Wingdings" w:hint="default"/>
      </w:rPr>
    </w:lvl>
    <w:lvl w:ilvl="6" w:tplc="00F64268">
      <w:start w:val="1"/>
      <w:numFmt w:val="bullet"/>
      <w:lvlText w:val=""/>
      <w:lvlJc w:val="left"/>
      <w:pPr>
        <w:ind w:left="5040" w:hanging="360"/>
      </w:pPr>
      <w:rPr>
        <w:rFonts w:ascii="Symbol" w:hAnsi="Symbol" w:hint="default"/>
      </w:rPr>
    </w:lvl>
    <w:lvl w:ilvl="7" w:tplc="E982AF0C">
      <w:start w:val="1"/>
      <w:numFmt w:val="bullet"/>
      <w:lvlText w:val="o"/>
      <w:lvlJc w:val="left"/>
      <w:pPr>
        <w:ind w:left="5760" w:hanging="360"/>
      </w:pPr>
      <w:rPr>
        <w:rFonts w:ascii="Courier New" w:hAnsi="Courier New" w:hint="default"/>
      </w:rPr>
    </w:lvl>
    <w:lvl w:ilvl="8" w:tplc="FED0F680">
      <w:start w:val="1"/>
      <w:numFmt w:val="bullet"/>
      <w:lvlText w:val=""/>
      <w:lvlJc w:val="left"/>
      <w:pPr>
        <w:ind w:left="6480" w:hanging="360"/>
      </w:pPr>
      <w:rPr>
        <w:rFonts w:ascii="Wingdings" w:hAnsi="Wingdings" w:hint="default"/>
      </w:rPr>
    </w:lvl>
  </w:abstractNum>
  <w:abstractNum w:abstractNumId="25" w15:restartNumberingAfterBreak="0">
    <w:nsid w:val="48A76942"/>
    <w:multiLevelType w:val="hybridMultilevel"/>
    <w:tmpl w:val="A2041EC4"/>
    <w:lvl w:ilvl="0" w:tplc="44E0BA9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BF96652"/>
    <w:multiLevelType w:val="hybridMultilevel"/>
    <w:tmpl w:val="6EC635F6"/>
    <w:lvl w:ilvl="0" w:tplc="4E928EF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5904D7"/>
    <w:multiLevelType w:val="multilevel"/>
    <w:tmpl w:val="B706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3F534F"/>
    <w:multiLevelType w:val="hybridMultilevel"/>
    <w:tmpl w:val="873E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66118"/>
    <w:multiLevelType w:val="multilevel"/>
    <w:tmpl w:val="27C4EE66"/>
    <w:lvl w:ilvl="0">
      <w:start w:val="5"/>
      <w:numFmt w:val="decimal"/>
      <w:lvlText w:val="%1"/>
      <w:lvlJc w:val="left"/>
      <w:pPr>
        <w:ind w:left="0" w:firstLine="0"/>
      </w:pPr>
      <w:rPr>
        <w:rFonts w:eastAsia="Times New Roman" w:cstheme="minorHAnsi" w:hint="default"/>
        <w:b w:val="0"/>
        <w:i/>
      </w:rPr>
    </w:lvl>
    <w:lvl w:ilvl="1">
      <w:start w:val="5"/>
      <w:numFmt w:val="decimal"/>
      <w:lvlText w:val="%1.%2"/>
      <w:lvlJc w:val="left"/>
      <w:pPr>
        <w:ind w:left="0" w:firstLine="0"/>
      </w:pPr>
      <w:rPr>
        <w:rFonts w:eastAsia="Times New Roman" w:cstheme="minorHAnsi" w:hint="default"/>
        <w:b w:val="0"/>
        <w:i/>
      </w:rPr>
    </w:lvl>
    <w:lvl w:ilvl="2">
      <w:start w:val="1"/>
      <w:numFmt w:val="decimal"/>
      <w:lvlText w:val="%1.%2.%3"/>
      <w:lvlJc w:val="left"/>
      <w:pPr>
        <w:ind w:left="360" w:hanging="360"/>
      </w:pPr>
      <w:rPr>
        <w:rFonts w:eastAsia="Times New Roman" w:cstheme="minorHAnsi" w:hint="default"/>
        <w:b w:val="0"/>
        <w:i/>
      </w:rPr>
    </w:lvl>
    <w:lvl w:ilvl="3">
      <w:start w:val="1"/>
      <w:numFmt w:val="decimal"/>
      <w:lvlText w:val="%1.%2.%3.%4"/>
      <w:lvlJc w:val="left"/>
      <w:pPr>
        <w:ind w:left="360" w:hanging="360"/>
      </w:pPr>
      <w:rPr>
        <w:rFonts w:eastAsia="Times New Roman" w:cstheme="minorHAnsi" w:hint="default"/>
        <w:b w:val="0"/>
        <w:i/>
      </w:rPr>
    </w:lvl>
    <w:lvl w:ilvl="4">
      <w:start w:val="1"/>
      <w:numFmt w:val="decimal"/>
      <w:lvlText w:val="%1.%2.%3.%4.%5"/>
      <w:lvlJc w:val="left"/>
      <w:pPr>
        <w:ind w:left="720" w:hanging="720"/>
      </w:pPr>
      <w:rPr>
        <w:rFonts w:eastAsia="Times New Roman" w:cstheme="minorHAnsi" w:hint="default"/>
        <w:b w:val="0"/>
        <w:i/>
      </w:rPr>
    </w:lvl>
    <w:lvl w:ilvl="5">
      <w:start w:val="1"/>
      <w:numFmt w:val="decimal"/>
      <w:lvlText w:val="%1.%2.%3.%4.%5.%6"/>
      <w:lvlJc w:val="left"/>
      <w:pPr>
        <w:ind w:left="720" w:hanging="720"/>
      </w:pPr>
      <w:rPr>
        <w:rFonts w:eastAsia="Times New Roman" w:cstheme="minorHAnsi" w:hint="default"/>
        <w:b w:val="0"/>
        <w:i/>
      </w:rPr>
    </w:lvl>
    <w:lvl w:ilvl="6">
      <w:start w:val="1"/>
      <w:numFmt w:val="decimal"/>
      <w:lvlText w:val="%1.%2.%3.%4.%5.%6.%7"/>
      <w:lvlJc w:val="left"/>
      <w:pPr>
        <w:ind w:left="1080" w:hanging="1080"/>
      </w:pPr>
      <w:rPr>
        <w:rFonts w:eastAsia="Times New Roman" w:cstheme="minorHAnsi" w:hint="default"/>
        <w:b w:val="0"/>
        <w:i/>
      </w:rPr>
    </w:lvl>
    <w:lvl w:ilvl="7">
      <w:start w:val="1"/>
      <w:numFmt w:val="decimal"/>
      <w:lvlText w:val="%1.%2.%3.%4.%5.%6.%7.%8"/>
      <w:lvlJc w:val="left"/>
      <w:pPr>
        <w:ind w:left="1080" w:hanging="1080"/>
      </w:pPr>
      <w:rPr>
        <w:rFonts w:eastAsia="Times New Roman" w:cstheme="minorHAnsi" w:hint="default"/>
        <w:b w:val="0"/>
        <w:i/>
      </w:rPr>
    </w:lvl>
    <w:lvl w:ilvl="8">
      <w:start w:val="1"/>
      <w:numFmt w:val="decimal"/>
      <w:lvlText w:val="%1.%2.%3.%4.%5.%6.%7.%8.%9"/>
      <w:lvlJc w:val="left"/>
      <w:pPr>
        <w:ind w:left="1440" w:hanging="1440"/>
      </w:pPr>
      <w:rPr>
        <w:rFonts w:eastAsia="Times New Roman" w:cstheme="minorHAnsi" w:hint="default"/>
        <w:b w:val="0"/>
        <w:i/>
      </w:rPr>
    </w:lvl>
  </w:abstractNum>
  <w:abstractNum w:abstractNumId="30" w15:restartNumberingAfterBreak="0">
    <w:nsid w:val="58D11390"/>
    <w:multiLevelType w:val="hybridMultilevel"/>
    <w:tmpl w:val="5F221ED8"/>
    <w:lvl w:ilvl="0" w:tplc="0809000F">
      <w:start w:val="1"/>
      <w:numFmt w:val="decimal"/>
      <w:lvlText w:val="%1."/>
      <w:lvlJc w:val="left"/>
      <w:pPr>
        <w:ind w:left="720" w:hanging="360"/>
      </w:pPr>
      <w:rPr>
        <w:rFonts w:hint="default"/>
      </w:rPr>
    </w:lvl>
    <w:lvl w:ilvl="1" w:tplc="BE2E7FF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EC2ED5"/>
    <w:multiLevelType w:val="hybridMultilevel"/>
    <w:tmpl w:val="A798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B7D49"/>
    <w:multiLevelType w:val="hybridMultilevel"/>
    <w:tmpl w:val="7E667826"/>
    <w:lvl w:ilvl="0" w:tplc="08090001">
      <w:start w:val="1"/>
      <w:numFmt w:val="bullet"/>
      <w:lvlText w:val=""/>
      <w:lvlJc w:val="left"/>
      <w:pPr>
        <w:ind w:left="360" w:hanging="360"/>
      </w:pPr>
      <w:rPr>
        <w:rFonts w:ascii="Symbol" w:hAnsi="Symbol" w:hint="default"/>
      </w:rPr>
    </w:lvl>
    <w:lvl w:ilvl="1" w:tplc="E098D3A2">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5A47A2"/>
    <w:multiLevelType w:val="hybridMultilevel"/>
    <w:tmpl w:val="59102F0A"/>
    <w:lvl w:ilvl="0" w:tplc="E5882B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BB1DE9"/>
    <w:multiLevelType w:val="hybridMultilevel"/>
    <w:tmpl w:val="EFE4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274F51"/>
    <w:multiLevelType w:val="hybridMultilevel"/>
    <w:tmpl w:val="3866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541D9"/>
    <w:multiLevelType w:val="hybridMultilevel"/>
    <w:tmpl w:val="E25C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A92F02"/>
    <w:multiLevelType w:val="multilevel"/>
    <w:tmpl w:val="610EE8C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440" w:hanging="1440"/>
      </w:pPr>
      <w:rPr>
        <w:rFonts w:hint="default"/>
        <w:u w:val="single"/>
      </w:rPr>
    </w:lvl>
  </w:abstractNum>
  <w:abstractNum w:abstractNumId="38" w15:restartNumberingAfterBreak="0">
    <w:nsid w:val="68276DF5"/>
    <w:multiLevelType w:val="hybridMultilevel"/>
    <w:tmpl w:val="4EC8C3AA"/>
    <w:lvl w:ilvl="0" w:tplc="08090001">
      <w:start w:val="1"/>
      <w:numFmt w:val="bullet"/>
      <w:lvlText w:val=""/>
      <w:lvlJc w:val="left"/>
      <w:pPr>
        <w:ind w:left="720" w:hanging="360"/>
      </w:pPr>
      <w:rPr>
        <w:rFonts w:ascii="Symbol" w:hAnsi="Symbol" w:hint="default"/>
      </w:rPr>
    </w:lvl>
    <w:lvl w:ilvl="1" w:tplc="44E0BA9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17918"/>
    <w:multiLevelType w:val="hybridMultilevel"/>
    <w:tmpl w:val="BA82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216F7"/>
    <w:multiLevelType w:val="hybridMultilevel"/>
    <w:tmpl w:val="732C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5C42C2"/>
    <w:multiLevelType w:val="hybridMultilevel"/>
    <w:tmpl w:val="B2B8CD18"/>
    <w:lvl w:ilvl="0" w:tplc="66FEAC1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6E66F5"/>
    <w:multiLevelType w:val="hybridMultilevel"/>
    <w:tmpl w:val="19C02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47323"/>
    <w:multiLevelType w:val="hybridMultilevel"/>
    <w:tmpl w:val="A72E30E0"/>
    <w:lvl w:ilvl="0" w:tplc="08090001">
      <w:start w:val="1"/>
      <w:numFmt w:val="bullet"/>
      <w:lvlText w:val=""/>
      <w:lvlJc w:val="left"/>
      <w:pPr>
        <w:ind w:left="720" w:hanging="360"/>
      </w:pPr>
      <w:rPr>
        <w:rFonts w:ascii="Symbol" w:hAnsi="Symbol" w:hint="default"/>
      </w:rPr>
    </w:lvl>
    <w:lvl w:ilvl="1" w:tplc="44E0BA92">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A391D"/>
    <w:multiLevelType w:val="hybridMultilevel"/>
    <w:tmpl w:val="BF0C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96BF2"/>
    <w:multiLevelType w:val="hybridMultilevel"/>
    <w:tmpl w:val="3A76102C"/>
    <w:lvl w:ilvl="0" w:tplc="850A5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037B52"/>
    <w:multiLevelType w:val="hybridMultilevel"/>
    <w:tmpl w:val="02920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70390521">
    <w:abstractNumId w:val="24"/>
  </w:num>
  <w:num w:numId="2" w16cid:durableId="1556046228">
    <w:abstractNumId w:val="1"/>
  </w:num>
  <w:num w:numId="3" w16cid:durableId="1724868496">
    <w:abstractNumId w:val="4"/>
  </w:num>
  <w:num w:numId="4" w16cid:durableId="889344919">
    <w:abstractNumId w:val="37"/>
  </w:num>
  <w:num w:numId="5" w16cid:durableId="1954630265">
    <w:abstractNumId w:val="9"/>
  </w:num>
  <w:num w:numId="6" w16cid:durableId="1503473435">
    <w:abstractNumId w:val="3"/>
  </w:num>
  <w:num w:numId="7" w16cid:durableId="1230002466">
    <w:abstractNumId w:val="34"/>
  </w:num>
  <w:num w:numId="8" w16cid:durableId="252982970">
    <w:abstractNumId w:val="46"/>
  </w:num>
  <w:num w:numId="9" w16cid:durableId="1583880018">
    <w:abstractNumId w:val="39"/>
  </w:num>
  <w:num w:numId="10" w16cid:durableId="1960641679">
    <w:abstractNumId w:val="36"/>
  </w:num>
  <w:num w:numId="11" w16cid:durableId="132215622">
    <w:abstractNumId w:val="31"/>
  </w:num>
  <w:num w:numId="12" w16cid:durableId="1162232262">
    <w:abstractNumId w:val="44"/>
  </w:num>
  <w:num w:numId="13" w16cid:durableId="761102120">
    <w:abstractNumId w:val="42"/>
  </w:num>
  <w:num w:numId="14" w16cid:durableId="1000625547">
    <w:abstractNumId w:val="8"/>
  </w:num>
  <w:num w:numId="15" w16cid:durableId="1498761564">
    <w:abstractNumId w:val="21"/>
  </w:num>
  <w:num w:numId="16" w16cid:durableId="937636126">
    <w:abstractNumId w:val="33"/>
  </w:num>
  <w:num w:numId="17" w16cid:durableId="632520029">
    <w:abstractNumId w:val="15"/>
  </w:num>
  <w:num w:numId="18" w16cid:durableId="1976182414">
    <w:abstractNumId w:val="35"/>
  </w:num>
  <w:num w:numId="19" w16cid:durableId="1292787996">
    <w:abstractNumId w:val="20"/>
  </w:num>
  <w:num w:numId="20" w16cid:durableId="178349835">
    <w:abstractNumId w:val="11"/>
  </w:num>
  <w:num w:numId="21" w16cid:durableId="334236218">
    <w:abstractNumId w:val="32"/>
  </w:num>
  <w:num w:numId="22" w16cid:durableId="1649553810">
    <w:abstractNumId w:val="40"/>
  </w:num>
  <w:num w:numId="23" w16cid:durableId="2116359220">
    <w:abstractNumId w:val="14"/>
  </w:num>
  <w:num w:numId="24" w16cid:durableId="1153984121">
    <w:abstractNumId w:val="45"/>
  </w:num>
  <w:num w:numId="25" w16cid:durableId="1207986086">
    <w:abstractNumId w:val="41"/>
  </w:num>
  <w:num w:numId="26" w16cid:durableId="566886973">
    <w:abstractNumId w:val="6"/>
  </w:num>
  <w:num w:numId="27" w16cid:durableId="1944150420">
    <w:abstractNumId w:val="22"/>
  </w:num>
  <w:num w:numId="28" w16cid:durableId="968898848">
    <w:abstractNumId w:val="27"/>
  </w:num>
  <w:num w:numId="29" w16cid:durableId="2088112305">
    <w:abstractNumId w:val="30"/>
  </w:num>
  <w:num w:numId="30" w16cid:durableId="1086655842">
    <w:abstractNumId w:val="19"/>
  </w:num>
  <w:num w:numId="31" w16cid:durableId="1816295779">
    <w:abstractNumId w:val="23"/>
  </w:num>
  <w:num w:numId="32" w16cid:durableId="523400959">
    <w:abstractNumId w:val="17"/>
  </w:num>
  <w:num w:numId="33" w16cid:durableId="1601176630">
    <w:abstractNumId w:val="28"/>
  </w:num>
  <w:num w:numId="34" w16cid:durableId="599070931">
    <w:abstractNumId w:val="43"/>
  </w:num>
  <w:num w:numId="35" w16cid:durableId="285699703">
    <w:abstractNumId w:val="38"/>
  </w:num>
  <w:num w:numId="36" w16cid:durableId="707874733">
    <w:abstractNumId w:val="18"/>
  </w:num>
  <w:num w:numId="37" w16cid:durableId="1757314029">
    <w:abstractNumId w:val="25"/>
  </w:num>
  <w:num w:numId="38" w16cid:durableId="1045105324">
    <w:abstractNumId w:val="2"/>
  </w:num>
  <w:num w:numId="39" w16cid:durableId="159465703">
    <w:abstractNumId w:val="16"/>
  </w:num>
  <w:num w:numId="40" w16cid:durableId="818813870">
    <w:abstractNumId w:val="10"/>
  </w:num>
  <w:num w:numId="41" w16cid:durableId="2125885689">
    <w:abstractNumId w:val="13"/>
  </w:num>
  <w:num w:numId="42" w16cid:durableId="1699234593">
    <w:abstractNumId w:val="0"/>
  </w:num>
  <w:num w:numId="43" w16cid:durableId="222834611">
    <w:abstractNumId w:val="26"/>
  </w:num>
  <w:num w:numId="44" w16cid:durableId="878976681">
    <w:abstractNumId w:val="5"/>
  </w:num>
  <w:num w:numId="45" w16cid:durableId="3754519">
    <w:abstractNumId w:val="7"/>
  </w:num>
  <w:num w:numId="46" w16cid:durableId="1341666901">
    <w:abstractNumId w:val="29"/>
  </w:num>
  <w:num w:numId="47" w16cid:durableId="70316841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A86"/>
    <w:rsid w:val="00002020"/>
    <w:rsid w:val="00006D91"/>
    <w:rsid w:val="00012E71"/>
    <w:rsid w:val="00015F4C"/>
    <w:rsid w:val="00026070"/>
    <w:rsid w:val="00041129"/>
    <w:rsid w:val="000414B2"/>
    <w:rsid w:val="000459CD"/>
    <w:rsid w:val="0004673E"/>
    <w:rsid w:val="00053656"/>
    <w:rsid w:val="00053C08"/>
    <w:rsid w:val="00057200"/>
    <w:rsid w:val="00062A8C"/>
    <w:rsid w:val="000660C0"/>
    <w:rsid w:val="000822CD"/>
    <w:rsid w:val="00092077"/>
    <w:rsid w:val="000935EA"/>
    <w:rsid w:val="000A2E57"/>
    <w:rsid w:val="000B1250"/>
    <w:rsid w:val="000B584B"/>
    <w:rsid w:val="000C0474"/>
    <w:rsid w:val="000C2057"/>
    <w:rsid w:val="000C72BD"/>
    <w:rsid w:val="000C73DA"/>
    <w:rsid w:val="000D628F"/>
    <w:rsid w:val="000D78D0"/>
    <w:rsid w:val="000E19C4"/>
    <w:rsid w:val="000E5711"/>
    <w:rsid w:val="000F027D"/>
    <w:rsid w:val="000F0D24"/>
    <w:rsid w:val="000F4645"/>
    <w:rsid w:val="000F64F2"/>
    <w:rsid w:val="001001D3"/>
    <w:rsid w:val="00103E5B"/>
    <w:rsid w:val="00104267"/>
    <w:rsid w:val="00104957"/>
    <w:rsid w:val="00110FF2"/>
    <w:rsid w:val="001114FD"/>
    <w:rsid w:val="00112404"/>
    <w:rsid w:val="00114D69"/>
    <w:rsid w:val="00130F33"/>
    <w:rsid w:val="00131488"/>
    <w:rsid w:val="0013646E"/>
    <w:rsid w:val="001412DB"/>
    <w:rsid w:val="00141509"/>
    <w:rsid w:val="00147261"/>
    <w:rsid w:val="001500D3"/>
    <w:rsid w:val="00153816"/>
    <w:rsid w:val="001560AE"/>
    <w:rsid w:val="00163893"/>
    <w:rsid w:val="00165A99"/>
    <w:rsid w:val="0016655C"/>
    <w:rsid w:val="00177956"/>
    <w:rsid w:val="001805B7"/>
    <w:rsid w:val="001805F2"/>
    <w:rsid w:val="00187254"/>
    <w:rsid w:val="00191940"/>
    <w:rsid w:val="001A00AC"/>
    <w:rsid w:val="001A0B0A"/>
    <w:rsid w:val="001A15B5"/>
    <w:rsid w:val="001A6112"/>
    <w:rsid w:val="001B38FD"/>
    <w:rsid w:val="001B419B"/>
    <w:rsid w:val="001B6D10"/>
    <w:rsid w:val="001C23A4"/>
    <w:rsid w:val="001C3A82"/>
    <w:rsid w:val="001C4DD8"/>
    <w:rsid w:val="001C7928"/>
    <w:rsid w:val="001D73F8"/>
    <w:rsid w:val="001E1632"/>
    <w:rsid w:val="001E534A"/>
    <w:rsid w:val="001E7BD1"/>
    <w:rsid w:val="001F2F94"/>
    <w:rsid w:val="00205A0E"/>
    <w:rsid w:val="00205B0E"/>
    <w:rsid w:val="002065E2"/>
    <w:rsid w:val="00216CE1"/>
    <w:rsid w:val="0022766A"/>
    <w:rsid w:val="002351DB"/>
    <w:rsid w:val="00236648"/>
    <w:rsid w:val="00237529"/>
    <w:rsid w:val="00247500"/>
    <w:rsid w:val="00252AFB"/>
    <w:rsid w:val="002603F2"/>
    <w:rsid w:val="0026107B"/>
    <w:rsid w:val="002749D1"/>
    <w:rsid w:val="00283F8A"/>
    <w:rsid w:val="002921B4"/>
    <w:rsid w:val="002944DC"/>
    <w:rsid w:val="002A0C7C"/>
    <w:rsid w:val="002A77D2"/>
    <w:rsid w:val="002B29F6"/>
    <w:rsid w:val="002C1ADA"/>
    <w:rsid w:val="002C3E59"/>
    <w:rsid w:val="002D00DE"/>
    <w:rsid w:val="002D2807"/>
    <w:rsid w:val="002D4D71"/>
    <w:rsid w:val="002E2236"/>
    <w:rsid w:val="002E22AA"/>
    <w:rsid w:val="002F4B43"/>
    <w:rsid w:val="00301C85"/>
    <w:rsid w:val="00306576"/>
    <w:rsid w:val="00323851"/>
    <w:rsid w:val="00325ABB"/>
    <w:rsid w:val="00331689"/>
    <w:rsid w:val="003357DB"/>
    <w:rsid w:val="00336E9D"/>
    <w:rsid w:val="00352007"/>
    <w:rsid w:val="00363D66"/>
    <w:rsid w:val="00380430"/>
    <w:rsid w:val="0038429C"/>
    <w:rsid w:val="0038543C"/>
    <w:rsid w:val="003925BA"/>
    <w:rsid w:val="003932ED"/>
    <w:rsid w:val="00395401"/>
    <w:rsid w:val="003960E0"/>
    <w:rsid w:val="00397611"/>
    <w:rsid w:val="003A0BFC"/>
    <w:rsid w:val="003A1C8B"/>
    <w:rsid w:val="003A65C8"/>
    <w:rsid w:val="003A79C9"/>
    <w:rsid w:val="003B3282"/>
    <w:rsid w:val="003B5CFE"/>
    <w:rsid w:val="003B797A"/>
    <w:rsid w:val="003C6634"/>
    <w:rsid w:val="003D34A6"/>
    <w:rsid w:val="003E6BEE"/>
    <w:rsid w:val="003E72C2"/>
    <w:rsid w:val="003E76C0"/>
    <w:rsid w:val="00404E5B"/>
    <w:rsid w:val="00405AC0"/>
    <w:rsid w:val="00416470"/>
    <w:rsid w:val="00420C92"/>
    <w:rsid w:val="00421BC4"/>
    <w:rsid w:val="00422899"/>
    <w:rsid w:val="00422FCE"/>
    <w:rsid w:val="0044067D"/>
    <w:rsid w:val="00444F64"/>
    <w:rsid w:val="004462A1"/>
    <w:rsid w:val="00452234"/>
    <w:rsid w:val="004545FF"/>
    <w:rsid w:val="00456C7F"/>
    <w:rsid w:val="00470EBD"/>
    <w:rsid w:val="00473BA6"/>
    <w:rsid w:val="00482104"/>
    <w:rsid w:val="004824EA"/>
    <w:rsid w:val="00482F40"/>
    <w:rsid w:val="004837FA"/>
    <w:rsid w:val="0049458C"/>
    <w:rsid w:val="00495F2D"/>
    <w:rsid w:val="004A1B00"/>
    <w:rsid w:val="004A1C35"/>
    <w:rsid w:val="004A498B"/>
    <w:rsid w:val="004A7C2D"/>
    <w:rsid w:val="004A7DE3"/>
    <w:rsid w:val="004B29B8"/>
    <w:rsid w:val="004B3496"/>
    <w:rsid w:val="004B58B8"/>
    <w:rsid w:val="004C17DD"/>
    <w:rsid w:val="004C1CBF"/>
    <w:rsid w:val="004C26E5"/>
    <w:rsid w:val="004C7191"/>
    <w:rsid w:val="004C7BE1"/>
    <w:rsid w:val="004D3B12"/>
    <w:rsid w:val="004D5567"/>
    <w:rsid w:val="004D5830"/>
    <w:rsid w:val="004E016F"/>
    <w:rsid w:val="004E078B"/>
    <w:rsid w:val="004E0BB9"/>
    <w:rsid w:val="00502C4B"/>
    <w:rsid w:val="00504383"/>
    <w:rsid w:val="00506EB4"/>
    <w:rsid w:val="00510A9D"/>
    <w:rsid w:val="005110AD"/>
    <w:rsid w:val="00532E0D"/>
    <w:rsid w:val="00535C91"/>
    <w:rsid w:val="005517B6"/>
    <w:rsid w:val="00561CF0"/>
    <w:rsid w:val="00583EB0"/>
    <w:rsid w:val="00584D13"/>
    <w:rsid w:val="00586352"/>
    <w:rsid w:val="00593C90"/>
    <w:rsid w:val="00594559"/>
    <w:rsid w:val="00595C57"/>
    <w:rsid w:val="005C2D99"/>
    <w:rsid w:val="005E05A9"/>
    <w:rsid w:val="005E7188"/>
    <w:rsid w:val="005E7BE6"/>
    <w:rsid w:val="005F6369"/>
    <w:rsid w:val="00601F52"/>
    <w:rsid w:val="006023F7"/>
    <w:rsid w:val="00605269"/>
    <w:rsid w:val="00614D56"/>
    <w:rsid w:val="00615ED8"/>
    <w:rsid w:val="00616695"/>
    <w:rsid w:val="0061713D"/>
    <w:rsid w:val="00623834"/>
    <w:rsid w:val="00633FDF"/>
    <w:rsid w:val="00645A7C"/>
    <w:rsid w:val="00645FD7"/>
    <w:rsid w:val="00646134"/>
    <w:rsid w:val="00647372"/>
    <w:rsid w:val="0064759C"/>
    <w:rsid w:val="00650D08"/>
    <w:rsid w:val="00654326"/>
    <w:rsid w:val="00670378"/>
    <w:rsid w:val="00677AC3"/>
    <w:rsid w:val="00680B26"/>
    <w:rsid w:val="00682B9B"/>
    <w:rsid w:val="00684FEE"/>
    <w:rsid w:val="00696ED6"/>
    <w:rsid w:val="006A3872"/>
    <w:rsid w:val="006A3CF1"/>
    <w:rsid w:val="006B06D3"/>
    <w:rsid w:val="006B0EC3"/>
    <w:rsid w:val="006B1E56"/>
    <w:rsid w:val="006B252C"/>
    <w:rsid w:val="006B71D5"/>
    <w:rsid w:val="006C15DA"/>
    <w:rsid w:val="006C2146"/>
    <w:rsid w:val="006C35D3"/>
    <w:rsid w:val="006C75A5"/>
    <w:rsid w:val="006D0FA1"/>
    <w:rsid w:val="006D1B82"/>
    <w:rsid w:val="006D40E3"/>
    <w:rsid w:val="006D444F"/>
    <w:rsid w:val="006D57A5"/>
    <w:rsid w:val="006D5BD1"/>
    <w:rsid w:val="006D5CF0"/>
    <w:rsid w:val="006D71AF"/>
    <w:rsid w:val="006E1ACA"/>
    <w:rsid w:val="006E4896"/>
    <w:rsid w:val="006F02BB"/>
    <w:rsid w:val="006F3CCC"/>
    <w:rsid w:val="00701772"/>
    <w:rsid w:val="00703714"/>
    <w:rsid w:val="007124DA"/>
    <w:rsid w:val="00714841"/>
    <w:rsid w:val="0072268B"/>
    <w:rsid w:val="00722AA9"/>
    <w:rsid w:val="00724275"/>
    <w:rsid w:val="00725B39"/>
    <w:rsid w:val="0073503E"/>
    <w:rsid w:val="007354A7"/>
    <w:rsid w:val="007433E4"/>
    <w:rsid w:val="00750716"/>
    <w:rsid w:val="00751E4B"/>
    <w:rsid w:val="007538D2"/>
    <w:rsid w:val="00756265"/>
    <w:rsid w:val="007627F0"/>
    <w:rsid w:val="00763E08"/>
    <w:rsid w:val="00767D4A"/>
    <w:rsid w:val="00771CB9"/>
    <w:rsid w:val="00773355"/>
    <w:rsid w:val="007753CB"/>
    <w:rsid w:val="007766CB"/>
    <w:rsid w:val="007813F2"/>
    <w:rsid w:val="0079774D"/>
    <w:rsid w:val="007A1A05"/>
    <w:rsid w:val="007A7CED"/>
    <w:rsid w:val="007B311A"/>
    <w:rsid w:val="007C0EC0"/>
    <w:rsid w:val="007C1DAE"/>
    <w:rsid w:val="007C2D7F"/>
    <w:rsid w:val="007C432B"/>
    <w:rsid w:val="007D43A2"/>
    <w:rsid w:val="007E0826"/>
    <w:rsid w:val="007E4DC8"/>
    <w:rsid w:val="007E7A9E"/>
    <w:rsid w:val="007E7BEE"/>
    <w:rsid w:val="008005CE"/>
    <w:rsid w:val="0080412A"/>
    <w:rsid w:val="0080697E"/>
    <w:rsid w:val="00807D13"/>
    <w:rsid w:val="00807EE7"/>
    <w:rsid w:val="00814D00"/>
    <w:rsid w:val="00814FFD"/>
    <w:rsid w:val="00841064"/>
    <w:rsid w:val="008410CA"/>
    <w:rsid w:val="008419F0"/>
    <w:rsid w:val="0084378A"/>
    <w:rsid w:val="00846131"/>
    <w:rsid w:val="00855859"/>
    <w:rsid w:val="00857286"/>
    <w:rsid w:val="00860FBC"/>
    <w:rsid w:val="00872698"/>
    <w:rsid w:val="00877402"/>
    <w:rsid w:val="008824E9"/>
    <w:rsid w:val="00884D65"/>
    <w:rsid w:val="0088515C"/>
    <w:rsid w:val="00886B6B"/>
    <w:rsid w:val="008963F5"/>
    <w:rsid w:val="00896899"/>
    <w:rsid w:val="008A05CC"/>
    <w:rsid w:val="008A0AE1"/>
    <w:rsid w:val="008A190E"/>
    <w:rsid w:val="008A7CE6"/>
    <w:rsid w:val="008B22DB"/>
    <w:rsid w:val="008B27F1"/>
    <w:rsid w:val="008B63B9"/>
    <w:rsid w:val="008D5054"/>
    <w:rsid w:val="00900635"/>
    <w:rsid w:val="009043BD"/>
    <w:rsid w:val="0090615C"/>
    <w:rsid w:val="009115D9"/>
    <w:rsid w:val="009122F8"/>
    <w:rsid w:val="0091574C"/>
    <w:rsid w:val="00921D14"/>
    <w:rsid w:val="009248FA"/>
    <w:rsid w:val="00924D35"/>
    <w:rsid w:val="00932C93"/>
    <w:rsid w:val="00933F7E"/>
    <w:rsid w:val="009343CA"/>
    <w:rsid w:val="009347B8"/>
    <w:rsid w:val="00936B84"/>
    <w:rsid w:val="00940351"/>
    <w:rsid w:val="00941CD6"/>
    <w:rsid w:val="00942854"/>
    <w:rsid w:val="009447A8"/>
    <w:rsid w:val="00956C8C"/>
    <w:rsid w:val="00961331"/>
    <w:rsid w:val="009616F4"/>
    <w:rsid w:val="009646BF"/>
    <w:rsid w:val="009820FA"/>
    <w:rsid w:val="00990AC9"/>
    <w:rsid w:val="00994075"/>
    <w:rsid w:val="00994CA7"/>
    <w:rsid w:val="009B13AA"/>
    <w:rsid w:val="009B34AB"/>
    <w:rsid w:val="009B3AF2"/>
    <w:rsid w:val="009B73EB"/>
    <w:rsid w:val="009C06B2"/>
    <w:rsid w:val="009C6BB4"/>
    <w:rsid w:val="009C71E7"/>
    <w:rsid w:val="009D0027"/>
    <w:rsid w:val="009D2643"/>
    <w:rsid w:val="009E1C67"/>
    <w:rsid w:val="009E2D91"/>
    <w:rsid w:val="009E31D5"/>
    <w:rsid w:val="009E3E0B"/>
    <w:rsid w:val="009E55C3"/>
    <w:rsid w:val="009F44E7"/>
    <w:rsid w:val="009F5914"/>
    <w:rsid w:val="00A05201"/>
    <w:rsid w:val="00A068F8"/>
    <w:rsid w:val="00A06918"/>
    <w:rsid w:val="00A0792C"/>
    <w:rsid w:val="00A14F5C"/>
    <w:rsid w:val="00A21D2D"/>
    <w:rsid w:val="00A25DC5"/>
    <w:rsid w:val="00A274B6"/>
    <w:rsid w:val="00A30E72"/>
    <w:rsid w:val="00A35E8C"/>
    <w:rsid w:val="00A376AE"/>
    <w:rsid w:val="00A41F99"/>
    <w:rsid w:val="00A45686"/>
    <w:rsid w:val="00A460BE"/>
    <w:rsid w:val="00A52CBF"/>
    <w:rsid w:val="00A55890"/>
    <w:rsid w:val="00A56035"/>
    <w:rsid w:val="00A5D473"/>
    <w:rsid w:val="00A64A73"/>
    <w:rsid w:val="00A705CA"/>
    <w:rsid w:val="00A726B6"/>
    <w:rsid w:val="00A75314"/>
    <w:rsid w:val="00A81E95"/>
    <w:rsid w:val="00A8207C"/>
    <w:rsid w:val="00A85362"/>
    <w:rsid w:val="00A87A86"/>
    <w:rsid w:val="00A909E0"/>
    <w:rsid w:val="00A916C5"/>
    <w:rsid w:val="00A94CD8"/>
    <w:rsid w:val="00A97C41"/>
    <w:rsid w:val="00AB0A5E"/>
    <w:rsid w:val="00AB56AC"/>
    <w:rsid w:val="00AB6FA1"/>
    <w:rsid w:val="00AC073A"/>
    <w:rsid w:val="00AC1240"/>
    <w:rsid w:val="00AC3A03"/>
    <w:rsid w:val="00AC4C9A"/>
    <w:rsid w:val="00AC5554"/>
    <w:rsid w:val="00AD1F25"/>
    <w:rsid w:val="00AD2194"/>
    <w:rsid w:val="00AD55BC"/>
    <w:rsid w:val="00AD6DFA"/>
    <w:rsid w:val="00AE0FC5"/>
    <w:rsid w:val="00AE3540"/>
    <w:rsid w:val="00AE7C46"/>
    <w:rsid w:val="00AF538F"/>
    <w:rsid w:val="00B00AB1"/>
    <w:rsid w:val="00B0380E"/>
    <w:rsid w:val="00B04DBE"/>
    <w:rsid w:val="00B05269"/>
    <w:rsid w:val="00B0622D"/>
    <w:rsid w:val="00B07248"/>
    <w:rsid w:val="00B10EAE"/>
    <w:rsid w:val="00B1767F"/>
    <w:rsid w:val="00B205BF"/>
    <w:rsid w:val="00B340AC"/>
    <w:rsid w:val="00B362EF"/>
    <w:rsid w:val="00B375D9"/>
    <w:rsid w:val="00B37829"/>
    <w:rsid w:val="00B4125F"/>
    <w:rsid w:val="00B43CB9"/>
    <w:rsid w:val="00B44A30"/>
    <w:rsid w:val="00B528A3"/>
    <w:rsid w:val="00B5329E"/>
    <w:rsid w:val="00B5669B"/>
    <w:rsid w:val="00B62687"/>
    <w:rsid w:val="00B716AF"/>
    <w:rsid w:val="00B75B51"/>
    <w:rsid w:val="00B8545B"/>
    <w:rsid w:val="00B97997"/>
    <w:rsid w:val="00BA04F3"/>
    <w:rsid w:val="00BB608C"/>
    <w:rsid w:val="00BC0301"/>
    <w:rsid w:val="00BC1A09"/>
    <w:rsid w:val="00BD30FB"/>
    <w:rsid w:val="00BD4B9D"/>
    <w:rsid w:val="00BD5FCA"/>
    <w:rsid w:val="00BD6774"/>
    <w:rsid w:val="00BE020E"/>
    <w:rsid w:val="00BE7992"/>
    <w:rsid w:val="00BF0EA0"/>
    <w:rsid w:val="00BF1C18"/>
    <w:rsid w:val="00BF22D2"/>
    <w:rsid w:val="00BF4FAA"/>
    <w:rsid w:val="00BF75A9"/>
    <w:rsid w:val="00C02279"/>
    <w:rsid w:val="00C04E7C"/>
    <w:rsid w:val="00C075BD"/>
    <w:rsid w:val="00C2338A"/>
    <w:rsid w:val="00C324AC"/>
    <w:rsid w:val="00C3643D"/>
    <w:rsid w:val="00C37180"/>
    <w:rsid w:val="00C46817"/>
    <w:rsid w:val="00C5016E"/>
    <w:rsid w:val="00C52CE1"/>
    <w:rsid w:val="00C53D71"/>
    <w:rsid w:val="00C54D78"/>
    <w:rsid w:val="00C57199"/>
    <w:rsid w:val="00C64648"/>
    <w:rsid w:val="00C66173"/>
    <w:rsid w:val="00C82419"/>
    <w:rsid w:val="00C832CB"/>
    <w:rsid w:val="00C83764"/>
    <w:rsid w:val="00C83C36"/>
    <w:rsid w:val="00C83D15"/>
    <w:rsid w:val="00C850D9"/>
    <w:rsid w:val="00CA1740"/>
    <w:rsid w:val="00CA5086"/>
    <w:rsid w:val="00CA64D9"/>
    <w:rsid w:val="00CB038B"/>
    <w:rsid w:val="00CB23D7"/>
    <w:rsid w:val="00CB734C"/>
    <w:rsid w:val="00CC1036"/>
    <w:rsid w:val="00CC6739"/>
    <w:rsid w:val="00CD5F07"/>
    <w:rsid w:val="00CD7CBB"/>
    <w:rsid w:val="00CE727E"/>
    <w:rsid w:val="00CF3462"/>
    <w:rsid w:val="00CF4B44"/>
    <w:rsid w:val="00D00DD0"/>
    <w:rsid w:val="00D06B35"/>
    <w:rsid w:val="00D12387"/>
    <w:rsid w:val="00D1328E"/>
    <w:rsid w:val="00D2216F"/>
    <w:rsid w:val="00D236E6"/>
    <w:rsid w:val="00D26966"/>
    <w:rsid w:val="00D27125"/>
    <w:rsid w:val="00D32DFF"/>
    <w:rsid w:val="00D41AE8"/>
    <w:rsid w:val="00D427B8"/>
    <w:rsid w:val="00D436AC"/>
    <w:rsid w:val="00D523C4"/>
    <w:rsid w:val="00D6238B"/>
    <w:rsid w:val="00D667A3"/>
    <w:rsid w:val="00D71170"/>
    <w:rsid w:val="00D71510"/>
    <w:rsid w:val="00D74D80"/>
    <w:rsid w:val="00D80249"/>
    <w:rsid w:val="00D87092"/>
    <w:rsid w:val="00DA3E50"/>
    <w:rsid w:val="00DA4FDD"/>
    <w:rsid w:val="00DB29C4"/>
    <w:rsid w:val="00DC252B"/>
    <w:rsid w:val="00DC55A5"/>
    <w:rsid w:val="00DC59B8"/>
    <w:rsid w:val="00DD7175"/>
    <w:rsid w:val="00DE0D24"/>
    <w:rsid w:val="00DE2479"/>
    <w:rsid w:val="00DE2FC7"/>
    <w:rsid w:val="00DE62D1"/>
    <w:rsid w:val="00DF1EF7"/>
    <w:rsid w:val="00DF412F"/>
    <w:rsid w:val="00E03878"/>
    <w:rsid w:val="00E12AFA"/>
    <w:rsid w:val="00E16E3D"/>
    <w:rsid w:val="00E257BB"/>
    <w:rsid w:val="00E26DCC"/>
    <w:rsid w:val="00E2738C"/>
    <w:rsid w:val="00E31178"/>
    <w:rsid w:val="00E3596C"/>
    <w:rsid w:val="00E41174"/>
    <w:rsid w:val="00E419D0"/>
    <w:rsid w:val="00E41A0C"/>
    <w:rsid w:val="00E4307C"/>
    <w:rsid w:val="00E43C10"/>
    <w:rsid w:val="00E445C9"/>
    <w:rsid w:val="00E679D0"/>
    <w:rsid w:val="00E7293B"/>
    <w:rsid w:val="00E750B2"/>
    <w:rsid w:val="00E807B5"/>
    <w:rsid w:val="00E8316E"/>
    <w:rsid w:val="00E8511B"/>
    <w:rsid w:val="00E86D41"/>
    <w:rsid w:val="00E86EAE"/>
    <w:rsid w:val="00E904EC"/>
    <w:rsid w:val="00E939F7"/>
    <w:rsid w:val="00E962D2"/>
    <w:rsid w:val="00E9641B"/>
    <w:rsid w:val="00EA7EE0"/>
    <w:rsid w:val="00EB0731"/>
    <w:rsid w:val="00EB7D6A"/>
    <w:rsid w:val="00EE05AA"/>
    <w:rsid w:val="00EF1ABE"/>
    <w:rsid w:val="00EF59AE"/>
    <w:rsid w:val="00EF67EE"/>
    <w:rsid w:val="00F009EF"/>
    <w:rsid w:val="00F02303"/>
    <w:rsid w:val="00F05E38"/>
    <w:rsid w:val="00F13CDD"/>
    <w:rsid w:val="00F175F6"/>
    <w:rsid w:val="00F23881"/>
    <w:rsid w:val="00F25EE6"/>
    <w:rsid w:val="00F27D75"/>
    <w:rsid w:val="00F34B9C"/>
    <w:rsid w:val="00F361D3"/>
    <w:rsid w:val="00F36FE2"/>
    <w:rsid w:val="00F372A2"/>
    <w:rsid w:val="00F37997"/>
    <w:rsid w:val="00F43706"/>
    <w:rsid w:val="00F72ED8"/>
    <w:rsid w:val="00F7415D"/>
    <w:rsid w:val="00F753B2"/>
    <w:rsid w:val="00F81208"/>
    <w:rsid w:val="00F859A2"/>
    <w:rsid w:val="00F865DC"/>
    <w:rsid w:val="00F90698"/>
    <w:rsid w:val="00F94243"/>
    <w:rsid w:val="00FA4479"/>
    <w:rsid w:val="00FA5A97"/>
    <w:rsid w:val="00FB5B84"/>
    <w:rsid w:val="00FB65AC"/>
    <w:rsid w:val="00FC0B03"/>
    <w:rsid w:val="00FC3D08"/>
    <w:rsid w:val="00FF20EC"/>
    <w:rsid w:val="00FF2766"/>
    <w:rsid w:val="00FF2DDA"/>
    <w:rsid w:val="00FF442B"/>
    <w:rsid w:val="00FF7E61"/>
    <w:rsid w:val="015353BA"/>
    <w:rsid w:val="01C19C91"/>
    <w:rsid w:val="023A01EB"/>
    <w:rsid w:val="02408A3E"/>
    <w:rsid w:val="024A5E72"/>
    <w:rsid w:val="02B31AC8"/>
    <w:rsid w:val="02D8849F"/>
    <w:rsid w:val="033CA3F4"/>
    <w:rsid w:val="035C3534"/>
    <w:rsid w:val="038D7341"/>
    <w:rsid w:val="03F6DD7E"/>
    <w:rsid w:val="040092B9"/>
    <w:rsid w:val="040DAB73"/>
    <w:rsid w:val="04308D01"/>
    <w:rsid w:val="0454E874"/>
    <w:rsid w:val="053D5C6C"/>
    <w:rsid w:val="0576F814"/>
    <w:rsid w:val="05990475"/>
    <w:rsid w:val="05B0B916"/>
    <w:rsid w:val="05B3CFA7"/>
    <w:rsid w:val="05C6CA98"/>
    <w:rsid w:val="05E9AD01"/>
    <w:rsid w:val="06861A1B"/>
    <w:rsid w:val="06D1D29E"/>
    <w:rsid w:val="06D95826"/>
    <w:rsid w:val="0733D616"/>
    <w:rsid w:val="075FA7DA"/>
    <w:rsid w:val="07636FA4"/>
    <w:rsid w:val="07A74C10"/>
    <w:rsid w:val="07B71650"/>
    <w:rsid w:val="07C3374E"/>
    <w:rsid w:val="07E25AFA"/>
    <w:rsid w:val="08452E33"/>
    <w:rsid w:val="088F2921"/>
    <w:rsid w:val="091992F5"/>
    <w:rsid w:val="09AF4F66"/>
    <w:rsid w:val="0ADE6892"/>
    <w:rsid w:val="0AE25169"/>
    <w:rsid w:val="0AFE638B"/>
    <w:rsid w:val="0B3A0196"/>
    <w:rsid w:val="0B8FCDBA"/>
    <w:rsid w:val="0BACDA51"/>
    <w:rsid w:val="0BC8E6A7"/>
    <w:rsid w:val="0BC98A0C"/>
    <w:rsid w:val="0C5D5D36"/>
    <w:rsid w:val="0C9ED130"/>
    <w:rsid w:val="0CD27E44"/>
    <w:rsid w:val="0D118FCA"/>
    <w:rsid w:val="0D230352"/>
    <w:rsid w:val="0D587FF2"/>
    <w:rsid w:val="0D89EF3D"/>
    <w:rsid w:val="0DA0CE84"/>
    <w:rsid w:val="0DC63E3E"/>
    <w:rsid w:val="0DE26D05"/>
    <w:rsid w:val="0DEC4C1E"/>
    <w:rsid w:val="0E544C16"/>
    <w:rsid w:val="0E69982C"/>
    <w:rsid w:val="0E8B448C"/>
    <w:rsid w:val="0EC01252"/>
    <w:rsid w:val="0F2B0204"/>
    <w:rsid w:val="0F3D8B52"/>
    <w:rsid w:val="0F55CC38"/>
    <w:rsid w:val="0F5A66C2"/>
    <w:rsid w:val="0F751ACF"/>
    <w:rsid w:val="0F975F18"/>
    <w:rsid w:val="0FA8671E"/>
    <w:rsid w:val="0FB5C28C"/>
    <w:rsid w:val="0FF6D05D"/>
    <w:rsid w:val="102F488D"/>
    <w:rsid w:val="109D4D6E"/>
    <w:rsid w:val="10D30994"/>
    <w:rsid w:val="10E4DA74"/>
    <w:rsid w:val="110CABC4"/>
    <w:rsid w:val="114A863A"/>
    <w:rsid w:val="11A7E8A0"/>
    <w:rsid w:val="11D6D18E"/>
    <w:rsid w:val="11FB0E49"/>
    <w:rsid w:val="124555E0"/>
    <w:rsid w:val="125EFFE4"/>
    <w:rsid w:val="12920784"/>
    <w:rsid w:val="12948264"/>
    <w:rsid w:val="12A3304D"/>
    <w:rsid w:val="12AB07A8"/>
    <w:rsid w:val="12D5789E"/>
    <w:rsid w:val="1306CD18"/>
    <w:rsid w:val="13981E13"/>
    <w:rsid w:val="13B2BF1A"/>
    <w:rsid w:val="13F8AD80"/>
    <w:rsid w:val="13FC8EC8"/>
    <w:rsid w:val="140EB0A3"/>
    <w:rsid w:val="14406759"/>
    <w:rsid w:val="14D730E9"/>
    <w:rsid w:val="14D92A92"/>
    <w:rsid w:val="1507B741"/>
    <w:rsid w:val="15A8BFE6"/>
    <w:rsid w:val="15B61A86"/>
    <w:rsid w:val="15D26D03"/>
    <w:rsid w:val="160515AC"/>
    <w:rsid w:val="16267069"/>
    <w:rsid w:val="1657ADDE"/>
    <w:rsid w:val="165846AB"/>
    <w:rsid w:val="165F88BA"/>
    <w:rsid w:val="168152B6"/>
    <w:rsid w:val="174F614D"/>
    <w:rsid w:val="17565492"/>
    <w:rsid w:val="175CCB11"/>
    <w:rsid w:val="1776A170"/>
    <w:rsid w:val="179B4557"/>
    <w:rsid w:val="17E0CC77"/>
    <w:rsid w:val="181C3C47"/>
    <w:rsid w:val="186A0729"/>
    <w:rsid w:val="18717012"/>
    <w:rsid w:val="18EC54AA"/>
    <w:rsid w:val="1977DB98"/>
    <w:rsid w:val="19B57673"/>
    <w:rsid w:val="19C03EEE"/>
    <w:rsid w:val="19D0833C"/>
    <w:rsid w:val="1A1EF4B7"/>
    <w:rsid w:val="1A33C26F"/>
    <w:rsid w:val="1A9DF846"/>
    <w:rsid w:val="1ABCB665"/>
    <w:rsid w:val="1BB63C29"/>
    <w:rsid w:val="1C223C4D"/>
    <w:rsid w:val="1C550684"/>
    <w:rsid w:val="1CBCAAA8"/>
    <w:rsid w:val="1CC1487B"/>
    <w:rsid w:val="1CE659B2"/>
    <w:rsid w:val="1D42B4E1"/>
    <w:rsid w:val="1D64388E"/>
    <w:rsid w:val="1D74FB08"/>
    <w:rsid w:val="1D83BDFC"/>
    <w:rsid w:val="1DB17588"/>
    <w:rsid w:val="1DE7E2A8"/>
    <w:rsid w:val="1E85D87C"/>
    <w:rsid w:val="1E98335F"/>
    <w:rsid w:val="1EC383F5"/>
    <w:rsid w:val="1EC83B11"/>
    <w:rsid w:val="1F0D8C67"/>
    <w:rsid w:val="1F143FC4"/>
    <w:rsid w:val="1F1F8E5D"/>
    <w:rsid w:val="1F9AD349"/>
    <w:rsid w:val="1FD06F45"/>
    <w:rsid w:val="1FE036AC"/>
    <w:rsid w:val="200A1512"/>
    <w:rsid w:val="214F6446"/>
    <w:rsid w:val="2157C0FB"/>
    <w:rsid w:val="216660E8"/>
    <w:rsid w:val="216FA43D"/>
    <w:rsid w:val="217FBE88"/>
    <w:rsid w:val="2201F04D"/>
    <w:rsid w:val="22160C06"/>
    <w:rsid w:val="22229807"/>
    <w:rsid w:val="22AE8442"/>
    <w:rsid w:val="22B7D0B6"/>
    <w:rsid w:val="22EF32D5"/>
    <w:rsid w:val="22F1C14E"/>
    <w:rsid w:val="22F1E3EB"/>
    <w:rsid w:val="2330C33B"/>
    <w:rsid w:val="2393D9CA"/>
    <w:rsid w:val="23FDF3CB"/>
    <w:rsid w:val="241E31E8"/>
    <w:rsid w:val="24425484"/>
    <w:rsid w:val="245D11FE"/>
    <w:rsid w:val="2481B5E5"/>
    <w:rsid w:val="248AB80B"/>
    <w:rsid w:val="2499B70F"/>
    <w:rsid w:val="24A6DDDD"/>
    <w:rsid w:val="25960431"/>
    <w:rsid w:val="25B6939E"/>
    <w:rsid w:val="260A14CD"/>
    <w:rsid w:val="263D3643"/>
    <w:rsid w:val="263D7922"/>
    <w:rsid w:val="26A5E577"/>
    <w:rsid w:val="26BA66A6"/>
    <w:rsid w:val="26DAE28A"/>
    <w:rsid w:val="26E03403"/>
    <w:rsid w:val="26E51C73"/>
    <w:rsid w:val="2740A0D5"/>
    <w:rsid w:val="279B7385"/>
    <w:rsid w:val="27C5BD64"/>
    <w:rsid w:val="27D906A4"/>
    <w:rsid w:val="27DEE5C1"/>
    <w:rsid w:val="27F72A59"/>
    <w:rsid w:val="28426EA5"/>
    <w:rsid w:val="285342AA"/>
    <w:rsid w:val="28630650"/>
    <w:rsid w:val="287339B5"/>
    <w:rsid w:val="28B666EB"/>
    <w:rsid w:val="28D7ED5A"/>
    <w:rsid w:val="297A146C"/>
    <w:rsid w:val="29B133C6"/>
    <w:rsid w:val="29C6D401"/>
    <w:rsid w:val="29F5353A"/>
    <w:rsid w:val="2A482303"/>
    <w:rsid w:val="2A956611"/>
    <w:rsid w:val="2AF47462"/>
    <w:rsid w:val="2AF9F4CF"/>
    <w:rsid w:val="2B7206D9"/>
    <w:rsid w:val="2C7CBAE8"/>
    <w:rsid w:val="2C9DAF44"/>
    <w:rsid w:val="2CA7E174"/>
    <w:rsid w:val="2CFA3E3F"/>
    <w:rsid w:val="2D0EA58A"/>
    <w:rsid w:val="2D255FCE"/>
    <w:rsid w:val="2D46AAD8"/>
    <w:rsid w:val="2D49297B"/>
    <w:rsid w:val="2D96FE7C"/>
    <w:rsid w:val="2DD090B9"/>
    <w:rsid w:val="2DF57AF9"/>
    <w:rsid w:val="2E11E72A"/>
    <w:rsid w:val="2E432BE6"/>
    <w:rsid w:val="2EC86CE8"/>
    <w:rsid w:val="2EFE3DE4"/>
    <w:rsid w:val="2F1BC1A6"/>
    <w:rsid w:val="2F6A8E3B"/>
    <w:rsid w:val="2FA3293C"/>
    <w:rsid w:val="2FA9ED52"/>
    <w:rsid w:val="30406B2E"/>
    <w:rsid w:val="307CCCA1"/>
    <w:rsid w:val="30A9890C"/>
    <w:rsid w:val="316B4E13"/>
    <w:rsid w:val="31B067BE"/>
    <w:rsid w:val="31D18837"/>
    <w:rsid w:val="31DA48F4"/>
    <w:rsid w:val="32000DAA"/>
    <w:rsid w:val="323573FA"/>
    <w:rsid w:val="324E667D"/>
    <w:rsid w:val="326AB263"/>
    <w:rsid w:val="32DE44C4"/>
    <w:rsid w:val="332CCDD2"/>
    <w:rsid w:val="339C2936"/>
    <w:rsid w:val="33A9EB74"/>
    <w:rsid w:val="33BA4FAA"/>
    <w:rsid w:val="34125B7A"/>
    <w:rsid w:val="3467222D"/>
    <w:rsid w:val="3498EE14"/>
    <w:rsid w:val="34B49447"/>
    <w:rsid w:val="34C0528E"/>
    <w:rsid w:val="34E8086B"/>
    <w:rsid w:val="34F3FFC2"/>
    <w:rsid w:val="351AE7DE"/>
    <w:rsid w:val="35741EF0"/>
    <w:rsid w:val="35B7DA73"/>
    <w:rsid w:val="35E7F48B"/>
    <w:rsid w:val="36239D2E"/>
    <w:rsid w:val="3658FC77"/>
    <w:rsid w:val="369A86A3"/>
    <w:rsid w:val="3730E8AD"/>
    <w:rsid w:val="37334A04"/>
    <w:rsid w:val="37711A92"/>
    <w:rsid w:val="3795A61F"/>
    <w:rsid w:val="37CA89B1"/>
    <w:rsid w:val="37FF9CE9"/>
    <w:rsid w:val="38365704"/>
    <w:rsid w:val="38533274"/>
    <w:rsid w:val="38A35EDA"/>
    <w:rsid w:val="38BFF5DF"/>
    <w:rsid w:val="38E2ED61"/>
    <w:rsid w:val="395583E2"/>
    <w:rsid w:val="396A5E85"/>
    <w:rsid w:val="39CF827F"/>
    <w:rsid w:val="3A289426"/>
    <w:rsid w:val="3A3273EF"/>
    <w:rsid w:val="3A3D9011"/>
    <w:rsid w:val="3A7CEA00"/>
    <w:rsid w:val="3A9D8387"/>
    <w:rsid w:val="3AD741D5"/>
    <w:rsid w:val="3ADE5A7A"/>
    <w:rsid w:val="3B0D16EE"/>
    <w:rsid w:val="3B180ADF"/>
    <w:rsid w:val="3B503D3C"/>
    <w:rsid w:val="3BAB99A2"/>
    <w:rsid w:val="3BFA32A6"/>
    <w:rsid w:val="3C57D0D8"/>
    <w:rsid w:val="3D834D87"/>
    <w:rsid w:val="3D86A1A5"/>
    <w:rsid w:val="3D8B3202"/>
    <w:rsid w:val="3DF929C8"/>
    <w:rsid w:val="3EA8C015"/>
    <w:rsid w:val="3EF5827E"/>
    <w:rsid w:val="3F19568B"/>
    <w:rsid w:val="3FB0C40A"/>
    <w:rsid w:val="40010D51"/>
    <w:rsid w:val="402AF65E"/>
    <w:rsid w:val="40E15FC6"/>
    <w:rsid w:val="419DFA3A"/>
    <w:rsid w:val="41C7C054"/>
    <w:rsid w:val="41D222C9"/>
    <w:rsid w:val="41D9AD75"/>
    <w:rsid w:val="41FF6F01"/>
    <w:rsid w:val="420E232E"/>
    <w:rsid w:val="425DDC06"/>
    <w:rsid w:val="431B8D6A"/>
    <w:rsid w:val="4348CB1A"/>
    <w:rsid w:val="438784C5"/>
    <w:rsid w:val="43C823C7"/>
    <w:rsid w:val="43EE4EFF"/>
    <w:rsid w:val="4482CDCD"/>
    <w:rsid w:val="448BE52B"/>
    <w:rsid w:val="449A27DB"/>
    <w:rsid w:val="44F55059"/>
    <w:rsid w:val="453C1DE2"/>
    <w:rsid w:val="454BAEB2"/>
    <w:rsid w:val="4569AE95"/>
    <w:rsid w:val="45B66480"/>
    <w:rsid w:val="45ED525E"/>
    <w:rsid w:val="462317C4"/>
    <w:rsid w:val="46532E2C"/>
    <w:rsid w:val="4698F31B"/>
    <w:rsid w:val="46D54B89"/>
    <w:rsid w:val="46E0AE5A"/>
    <w:rsid w:val="470E38BC"/>
    <w:rsid w:val="47101454"/>
    <w:rsid w:val="476F1DB1"/>
    <w:rsid w:val="47777308"/>
    <w:rsid w:val="479D2E63"/>
    <w:rsid w:val="47A6AE36"/>
    <w:rsid w:val="481597E7"/>
    <w:rsid w:val="48555EB6"/>
    <w:rsid w:val="48D8C7C9"/>
    <w:rsid w:val="48EAD873"/>
    <w:rsid w:val="4922F541"/>
    <w:rsid w:val="49B16848"/>
    <w:rsid w:val="49BE36B5"/>
    <w:rsid w:val="4A09ACE3"/>
    <w:rsid w:val="4A3764D7"/>
    <w:rsid w:val="4A6E5303"/>
    <w:rsid w:val="4AD9C250"/>
    <w:rsid w:val="4AEDEE33"/>
    <w:rsid w:val="4B253A6C"/>
    <w:rsid w:val="4B41489B"/>
    <w:rsid w:val="4BD39A53"/>
    <w:rsid w:val="4BE227C8"/>
    <w:rsid w:val="4BE7CCB1"/>
    <w:rsid w:val="4C09894A"/>
    <w:rsid w:val="4C305AF4"/>
    <w:rsid w:val="4C5FC0A6"/>
    <w:rsid w:val="4CBF93C5"/>
    <w:rsid w:val="4CCFBDC2"/>
    <w:rsid w:val="4D10C644"/>
    <w:rsid w:val="4D261EA2"/>
    <w:rsid w:val="4D69A420"/>
    <w:rsid w:val="4D6BA176"/>
    <w:rsid w:val="4DEE176F"/>
    <w:rsid w:val="4E1D6D6A"/>
    <w:rsid w:val="4E9BB58E"/>
    <w:rsid w:val="4EC2E201"/>
    <w:rsid w:val="4ED876FF"/>
    <w:rsid w:val="4EE73812"/>
    <w:rsid w:val="4F057481"/>
    <w:rsid w:val="4F192014"/>
    <w:rsid w:val="4F258D4A"/>
    <w:rsid w:val="4F36A0E3"/>
    <w:rsid w:val="4F652E62"/>
    <w:rsid w:val="4FB8C974"/>
    <w:rsid w:val="4FBB4DA6"/>
    <w:rsid w:val="4FDD3A0C"/>
    <w:rsid w:val="4FEA90CF"/>
    <w:rsid w:val="50076525"/>
    <w:rsid w:val="507F9531"/>
    <w:rsid w:val="50A34238"/>
    <w:rsid w:val="50AB7D6A"/>
    <w:rsid w:val="5100CA74"/>
    <w:rsid w:val="51222332"/>
    <w:rsid w:val="51570994"/>
    <w:rsid w:val="516ADE84"/>
    <w:rsid w:val="51775433"/>
    <w:rsid w:val="5195D984"/>
    <w:rsid w:val="5212BF36"/>
    <w:rsid w:val="5218DB7A"/>
    <w:rsid w:val="52217D34"/>
    <w:rsid w:val="526C7521"/>
    <w:rsid w:val="52DC047D"/>
    <w:rsid w:val="5300650A"/>
    <w:rsid w:val="532DA9C0"/>
    <w:rsid w:val="5356BF63"/>
    <w:rsid w:val="537571C5"/>
    <w:rsid w:val="537A0222"/>
    <w:rsid w:val="5394CF29"/>
    <w:rsid w:val="53C3B2E1"/>
    <w:rsid w:val="53DFE2F8"/>
    <w:rsid w:val="53FDAD2B"/>
    <w:rsid w:val="54211421"/>
    <w:rsid w:val="548EDC2C"/>
    <w:rsid w:val="5495F0A6"/>
    <w:rsid w:val="549C356B"/>
    <w:rsid w:val="54A6AE32"/>
    <w:rsid w:val="54DDEF8C"/>
    <w:rsid w:val="5585A221"/>
    <w:rsid w:val="55B3888A"/>
    <w:rsid w:val="55B69C4B"/>
    <w:rsid w:val="55B6D953"/>
    <w:rsid w:val="5616D264"/>
    <w:rsid w:val="56358E70"/>
    <w:rsid w:val="569E3F0F"/>
    <w:rsid w:val="571037EA"/>
    <w:rsid w:val="5714B6D3"/>
    <w:rsid w:val="577E6DFB"/>
    <w:rsid w:val="5780DC78"/>
    <w:rsid w:val="579DDCF8"/>
    <w:rsid w:val="57AA8D13"/>
    <w:rsid w:val="57BDFD91"/>
    <w:rsid w:val="57DF53AE"/>
    <w:rsid w:val="5810E329"/>
    <w:rsid w:val="583807DC"/>
    <w:rsid w:val="58396AB3"/>
    <w:rsid w:val="58A78DAF"/>
    <w:rsid w:val="58C521C4"/>
    <w:rsid w:val="59A019BA"/>
    <w:rsid w:val="5A5DB1A7"/>
    <w:rsid w:val="5A662075"/>
    <w:rsid w:val="5A69F44B"/>
    <w:rsid w:val="5A8C5F1F"/>
    <w:rsid w:val="5AA02451"/>
    <w:rsid w:val="5ABD206A"/>
    <w:rsid w:val="5ACF8550"/>
    <w:rsid w:val="5AD1304E"/>
    <w:rsid w:val="5AE38D46"/>
    <w:rsid w:val="5AFFC32B"/>
    <w:rsid w:val="5B9547EF"/>
    <w:rsid w:val="5B9DD2A5"/>
    <w:rsid w:val="5BB0DE7C"/>
    <w:rsid w:val="5BE3A90D"/>
    <w:rsid w:val="5BFB6FA9"/>
    <w:rsid w:val="5C190E4B"/>
    <w:rsid w:val="5C62BF36"/>
    <w:rsid w:val="5CF7B042"/>
    <w:rsid w:val="5D21490F"/>
    <w:rsid w:val="5D21DC6A"/>
    <w:rsid w:val="5DAC5520"/>
    <w:rsid w:val="5E03A2A0"/>
    <w:rsid w:val="5E38C1B3"/>
    <w:rsid w:val="5E468604"/>
    <w:rsid w:val="5E920CBE"/>
    <w:rsid w:val="5E92EF88"/>
    <w:rsid w:val="5ECA0699"/>
    <w:rsid w:val="5F164325"/>
    <w:rsid w:val="5F856D60"/>
    <w:rsid w:val="5F86148F"/>
    <w:rsid w:val="5FADB283"/>
    <w:rsid w:val="5FD6DE45"/>
    <w:rsid w:val="6038B6AB"/>
    <w:rsid w:val="605EAE77"/>
    <w:rsid w:val="6099B23F"/>
    <w:rsid w:val="60B39490"/>
    <w:rsid w:val="60F8AC88"/>
    <w:rsid w:val="612A6F67"/>
    <w:rsid w:val="6137D9E9"/>
    <w:rsid w:val="61697317"/>
    <w:rsid w:val="61E04296"/>
    <w:rsid w:val="61EFB66D"/>
    <w:rsid w:val="62234E75"/>
    <w:rsid w:val="6247F01A"/>
    <w:rsid w:val="626ADEB0"/>
    <w:rsid w:val="6281AED5"/>
    <w:rsid w:val="62934DF9"/>
    <w:rsid w:val="62E3F40E"/>
    <w:rsid w:val="62ECA3C4"/>
    <w:rsid w:val="62FD6077"/>
    <w:rsid w:val="6308E46A"/>
    <w:rsid w:val="630EBF3B"/>
    <w:rsid w:val="6319A11E"/>
    <w:rsid w:val="63758783"/>
    <w:rsid w:val="63866F36"/>
    <w:rsid w:val="64434713"/>
    <w:rsid w:val="64875C4C"/>
    <w:rsid w:val="64C528AE"/>
    <w:rsid w:val="64EE1767"/>
    <w:rsid w:val="65546048"/>
    <w:rsid w:val="6596D5A2"/>
    <w:rsid w:val="65E4D94F"/>
    <w:rsid w:val="662735B5"/>
    <w:rsid w:val="664F801E"/>
    <w:rsid w:val="6673ACCA"/>
    <w:rsid w:val="66A28AB6"/>
    <w:rsid w:val="66D63AE1"/>
    <w:rsid w:val="6764F8B4"/>
    <w:rsid w:val="679F3A92"/>
    <w:rsid w:val="679FC1DE"/>
    <w:rsid w:val="67A7810F"/>
    <w:rsid w:val="68714DE1"/>
    <w:rsid w:val="689F99C1"/>
    <w:rsid w:val="68A903B8"/>
    <w:rsid w:val="68B2DA98"/>
    <w:rsid w:val="69093A9B"/>
    <w:rsid w:val="694AACC9"/>
    <w:rsid w:val="6991DC20"/>
    <w:rsid w:val="69A01CFD"/>
    <w:rsid w:val="69C1888A"/>
    <w:rsid w:val="6A4D101B"/>
    <w:rsid w:val="6A67090D"/>
    <w:rsid w:val="6A72E8AD"/>
    <w:rsid w:val="6A837CAC"/>
    <w:rsid w:val="6AA43895"/>
    <w:rsid w:val="6ACB541D"/>
    <w:rsid w:val="6AF5AC9F"/>
    <w:rsid w:val="6AFF311F"/>
    <w:rsid w:val="6B044AA8"/>
    <w:rsid w:val="6B29AFD2"/>
    <w:rsid w:val="6B2A344B"/>
    <w:rsid w:val="6B576769"/>
    <w:rsid w:val="6B75FBD9"/>
    <w:rsid w:val="6B8B98C9"/>
    <w:rsid w:val="6BA9E61C"/>
    <w:rsid w:val="6BC514A0"/>
    <w:rsid w:val="6BD7361F"/>
    <w:rsid w:val="6BE6E8DC"/>
    <w:rsid w:val="6BF9BDF3"/>
    <w:rsid w:val="6C1519D7"/>
    <w:rsid w:val="6C62F8B0"/>
    <w:rsid w:val="6C96FCE3"/>
    <w:rsid w:val="6C9D6EF7"/>
    <w:rsid w:val="6CD73CE1"/>
    <w:rsid w:val="6D32D8A4"/>
    <w:rsid w:val="6D940C7F"/>
    <w:rsid w:val="6DF189FF"/>
    <w:rsid w:val="6EAD9C9B"/>
    <w:rsid w:val="6FA2C278"/>
    <w:rsid w:val="705DFA02"/>
    <w:rsid w:val="708D34FB"/>
    <w:rsid w:val="70ABEFC6"/>
    <w:rsid w:val="70C7F432"/>
    <w:rsid w:val="70DE9C62"/>
    <w:rsid w:val="718AD5E2"/>
    <w:rsid w:val="71A2A906"/>
    <w:rsid w:val="71F36BD7"/>
    <w:rsid w:val="71FF07CA"/>
    <w:rsid w:val="72D46823"/>
    <w:rsid w:val="73785375"/>
    <w:rsid w:val="7446FA9B"/>
    <w:rsid w:val="7468E6C2"/>
    <w:rsid w:val="748E667B"/>
    <w:rsid w:val="74C540FB"/>
    <w:rsid w:val="74CE31F3"/>
    <w:rsid w:val="7506D945"/>
    <w:rsid w:val="754BA34C"/>
    <w:rsid w:val="756DE13B"/>
    <w:rsid w:val="75A1D792"/>
    <w:rsid w:val="75C3BC43"/>
    <w:rsid w:val="75D74E6A"/>
    <w:rsid w:val="75F7FE24"/>
    <w:rsid w:val="75FB3940"/>
    <w:rsid w:val="76C09C06"/>
    <w:rsid w:val="772FBF05"/>
    <w:rsid w:val="774743A2"/>
    <w:rsid w:val="774D012E"/>
    <w:rsid w:val="78090947"/>
    <w:rsid w:val="78236896"/>
    <w:rsid w:val="786F3AD5"/>
    <w:rsid w:val="78E05D2D"/>
    <w:rsid w:val="78F4CA29"/>
    <w:rsid w:val="79073FC6"/>
    <w:rsid w:val="79550F99"/>
    <w:rsid w:val="79C3ECFB"/>
    <w:rsid w:val="7A2F25A4"/>
    <w:rsid w:val="7A5D605B"/>
    <w:rsid w:val="7A647644"/>
    <w:rsid w:val="7A6F4351"/>
    <w:rsid w:val="7B229CCD"/>
    <w:rsid w:val="7B2E94DA"/>
    <w:rsid w:val="7B577110"/>
    <w:rsid w:val="7B923783"/>
    <w:rsid w:val="7BEF2251"/>
    <w:rsid w:val="7C37B105"/>
    <w:rsid w:val="7CE24A77"/>
    <w:rsid w:val="7CF48AD4"/>
    <w:rsid w:val="7D102813"/>
    <w:rsid w:val="7D17DC4D"/>
    <w:rsid w:val="7D283BE5"/>
    <w:rsid w:val="7E363AC5"/>
    <w:rsid w:val="7E3D3317"/>
    <w:rsid w:val="7E818BFD"/>
    <w:rsid w:val="7E92C609"/>
    <w:rsid w:val="7E9B037D"/>
    <w:rsid w:val="7EB0C2CF"/>
    <w:rsid w:val="7EDB5A07"/>
    <w:rsid w:val="7EDF91BE"/>
    <w:rsid w:val="7F19A00D"/>
    <w:rsid w:val="7F4D5B02"/>
    <w:rsid w:val="7F57072E"/>
    <w:rsid w:val="7FA2A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C00DE"/>
  <w14:defaultImageDpi w14:val="300"/>
  <w15:docId w15:val="{8DBB4C17-16C9-4046-8516-E9C4B9D7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C85"/>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9"/>
    <w:qFormat/>
    <w:rsid w:val="00EE05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E05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E05A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A86"/>
    <w:pPr>
      <w:ind w:left="720"/>
      <w:contextualSpacing/>
    </w:pPr>
  </w:style>
  <w:style w:type="paragraph" w:styleId="Header">
    <w:name w:val="header"/>
    <w:basedOn w:val="Normal"/>
    <w:link w:val="HeaderChar"/>
    <w:uiPriority w:val="99"/>
    <w:unhideWhenUsed/>
    <w:rsid w:val="00E41174"/>
    <w:pPr>
      <w:tabs>
        <w:tab w:val="center" w:pos="4320"/>
        <w:tab w:val="right" w:pos="8640"/>
      </w:tabs>
    </w:pPr>
  </w:style>
  <w:style w:type="character" w:customStyle="1" w:styleId="HeaderChar">
    <w:name w:val="Header Char"/>
    <w:basedOn w:val="DefaultParagraphFont"/>
    <w:link w:val="Header"/>
    <w:uiPriority w:val="99"/>
    <w:rsid w:val="00E41174"/>
  </w:style>
  <w:style w:type="paragraph" w:styleId="Footer">
    <w:name w:val="footer"/>
    <w:basedOn w:val="Normal"/>
    <w:link w:val="FooterChar"/>
    <w:uiPriority w:val="99"/>
    <w:unhideWhenUsed/>
    <w:rsid w:val="00E41174"/>
    <w:pPr>
      <w:tabs>
        <w:tab w:val="center" w:pos="4320"/>
        <w:tab w:val="right" w:pos="8640"/>
      </w:tabs>
    </w:pPr>
  </w:style>
  <w:style w:type="character" w:customStyle="1" w:styleId="FooterChar">
    <w:name w:val="Footer Char"/>
    <w:basedOn w:val="DefaultParagraphFont"/>
    <w:link w:val="Footer"/>
    <w:uiPriority w:val="99"/>
    <w:rsid w:val="00E41174"/>
  </w:style>
  <w:style w:type="character" w:styleId="PageNumber">
    <w:name w:val="page number"/>
    <w:basedOn w:val="DefaultParagraphFont"/>
    <w:uiPriority w:val="99"/>
    <w:semiHidden/>
    <w:unhideWhenUsed/>
    <w:rsid w:val="00E41174"/>
  </w:style>
  <w:style w:type="paragraph" w:styleId="NormalWeb">
    <w:name w:val="Normal (Web)"/>
    <w:basedOn w:val="Normal"/>
    <w:uiPriority w:val="99"/>
    <w:unhideWhenUsed/>
    <w:rsid w:val="003960E0"/>
  </w:style>
  <w:style w:type="character" w:styleId="Hyperlink">
    <w:name w:val="Hyperlink"/>
    <w:basedOn w:val="DefaultParagraphFont"/>
    <w:uiPriority w:val="99"/>
    <w:unhideWhenUsed/>
    <w:rsid w:val="001A6112"/>
    <w:rPr>
      <w:color w:val="0000FF"/>
      <w:u w:val="single"/>
    </w:rPr>
  </w:style>
  <w:style w:type="character" w:customStyle="1" w:styleId="UnresolvedMention1">
    <w:name w:val="Unresolved Mention1"/>
    <w:basedOn w:val="DefaultParagraphFont"/>
    <w:uiPriority w:val="99"/>
    <w:semiHidden/>
    <w:unhideWhenUsed/>
    <w:rsid w:val="001A6112"/>
    <w:rPr>
      <w:color w:val="605E5C"/>
      <w:shd w:val="clear" w:color="auto" w:fill="E1DFDD"/>
    </w:rPr>
  </w:style>
  <w:style w:type="paragraph" w:styleId="BalloonText">
    <w:name w:val="Balloon Text"/>
    <w:basedOn w:val="Normal"/>
    <w:link w:val="BalloonTextChar"/>
    <w:uiPriority w:val="99"/>
    <w:semiHidden/>
    <w:unhideWhenUsed/>
    <w:rsid w:val="00E419D0"/>
    <w:rPr>
      <w:sz w:val="18"/>
      <w:szCs w:val="18"/>
    </w:rPr>
  </w:style>
  <w:style w:type="character" w:customStyle="1" w:styleId="BalloonTextChar">
    <w:name w:val="Balloon Text Char"/>
    <w:basedOn w:val="DefaultParagraphFont"/>
    <w:link w:val="BalloonText"/>
    <w:uiPriority w:val="99"/>
    <w:semiHidden/>
    <w:rsid w:val="00E419D0"/>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BD4B9D"/>
    <w:rPr>
      <w:color w:val="605E5C"/>
      <w:shd w:val="clear" w:color="auto" w:fill="E1DFDD"/>
    </w:rPr>
  </w:style>
  <w:style w:type="character" w:styleId="FollowedHyperlink">
    <w:name w:val="FollowedHyperlink"/>
    <w:basedOn w:val="DefaultParagraphFont"/>
    <w:uiPriority w:val="99"/>
    <w:semiHidden/>
    <w:unhideWhenUsed/>
    <w:rsid w:val="003925BA"/>
    <w:rPr>
      <w:color w:val="800080" w:themeColor="followedHyperlink"/>
      <w:u w:val="single"/>
    </w:rPr>
  </w:style>
  <w:style w:type="character" w:styleId="CommentReference">
    <w:name w:val="annotation reference"/>
    <w:basedOn w:val="DefaultParagraphFont"/>
    <w:uiPriority w:val="99"/>
    <w:semiHidden/>
    <w:unhideWhenUsed/>
    <w:rsid w:val="009D2643"/>
    <w:rPr>
      <w:sz w:val="16"/>
      <w:szCs w:val="16"/>
    </w:rPr>
  </w:style>
  <w:style w:type="paragraph" w:styleId="CommentText">
    <w:name w:val="annotation text"/>
    <w:basedOn w:val="Normal"/>
    <w:link w:val="CommentTextChar"/>
    <w:uiPriority w:val="99"/>
    <w:unhideWhenUsed/>
    <w:rsid w:val="009D2643"/>
    <w:rPr>
      <w:sz w:val="20"/>
      <w:szCs w:val="20"/>
    </w:rPr>
  </w:style>
  <w:style w:type="character" w:customStyle="1" w:styleId="CommentTextChar">
    <w:name w:val="Comment Text Char"/>
    <w:basedOn w:val="DefaultParagraphFont"/>
    <w:link w:val="CommentText"/>
    <w:uiPriority w:val="99"/>
    <w:rsid w:val="009D2643"/>
    <w:rPr>
      <w:sz w:val="20"/>
      <w:szCs w:val="20"/>
    </w:rPr>
  </w:style>
  <w:style w:type="paragraph" w:styleId="CommentSubject">
    <w:name w:val="annotation subject"/>
    <w:basedOn w:val="CommentText"/>
    <w:next w:val="CommentText"/>
    <w:link w:val="CommentSubjectChar"/>
    <w:uiPriority w:val="99"/>
    <w:semiHidden/>
    <w:unhideWhenUsed/>
    <w:rsid w:val="009D2643"/>
    <w:rPr>
      <w:b/>
      <w:bCs/>
    </w:rPr>
  </w:style>
  <w:style w:type="character" w:customStyle="1" w:styleId="CommentSubjectChar">
    <w:name w:val="Comment Subject Char"/>
    <w:basedOn w:val="CommentTextChar"/>
    <w:link w:val="CommentSubject"/>
    <w:uiPriority w:val="99"/>
    <w:semiHidden/>
    <w:rsid w:val="009D2643"/>
    <w:rPr>
      <w:b/>
      <w:bCs/>
      <w:sz w:val="20"/>
      <w:szCs w:val="20"/>
    </w:rPr>
  </w:style>
  <w:style w:type="paragraph" w:styleId="FootnoteText">
    <w:name w:val="footnote text"/>
    <w:basedOn w:val="Normal"/>
    <w:link w:val="FootnoteTextChar"/>
    <w:uiPriority w:val="99"/>
    <w:semiHidden/>
    <w:unhideWhenUsed/>
    <w:rsid w:val="006E1AC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E1ACA"/>
    <w:rPr>
      <w:rFonts w:asciiTheme="minorHAnsi" w:eastAsiaTheme="minorHAnsi" w:hAnsiTheme="minorHAnsi" w:cstheme="minorBidi"/>
      <w:color w:val="auto"/>
      <w:sz w:val="20"/>
      <w:szCs w:val="20"/>
      <w:lang w:val="en-GB"/>
    </w:rPr>
  </w:style>
  <w:style w:type="character" w:styleId="FootnoteReference">
    <w:name w:val="footnote reference"/>
    <w:basedOn w:val="DefaultParagraphFont"/>
    <w:uiPriority w:val="99"/>
    <w:semiHidden/>
    <w:unhideWhenUsed/>
    <w:rsid w:val="006E1ACA"/>
    <w:rPr>
      <w:vertAlign w:val="superscript"/>
    </w:rPr>
  </w:style>
  <w:style w:type="paragraph" w:customStyle="1" w:styleId="Normal1">
    <w:name w:val="Normal1"/>
    <w:basedOn w:val="Normal"/>
    <w:uiPriority w:val="1"/>
    <w:unhideWhenUsed/>
    <w:qFormat/>
    <w:rsid w:val="006E1ACA"/>
    <w:rPr>
      <w:rFonts w:ascii="Calibri" w:hAnsiTheme="minorHAnsi" w:cstheme="minorBidi"/>
    </w:rPr>
  </w:style>
  <w:style w:type="paragraph" w:customStyle="1" w:styleId="Heading10">
    <w:name w:val="Heading1"/>
    <w:basedOn w:val="Normal1"/>
    <w:next w:val="Normal1"/>
    <w:uiPriority w:val="1"/>
    <w:unhideWhenUsed/>
    <w:qFormat/>
    <w:rsid w:val="006E1ACA"/>
    <w:pPr>
      <w:keepNext/>
      <w:spacing w:before="480" w:after="120"/>
      <w:outlineLvl w:val="0"/>
    </w:pPr>
    <w:rPr>
      <w:rFonts w:ascii="Calibri Light"/>
      <w:color w:val="4F81BD" w:themeColor="accent1"/>
      <w:sz w:val="32"/>
    </w:rPr>
  </w:style>
  <w:style w:type="table" w:styleId="TableGrid">
    <w:name w:val="Table Grid"/>
    <w:basedOn w:val="TableNormal"/>
    <w:uiPriority w:val="39"/>
    <w:rsid w:val="006E1ACA"/>
    <w:rPr>
      <w:rFonts w:asciiTheme="minorHAnsi" w:hAnsiTheme="minorHAnsi" w:cstheme="minorBidi"/>
      <w:color w:val="auto"/>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1"/>
    <w:unhideWhenUsed/>
    <w:qFormat/>
    <w:rsid w:val="006C15DA"/>
    <w:pPr>
      <w:spacing w:after="200"/>
      <w:jc w:val="center"/>
    </w:pPr>
    <w:rPr>
      <w:rFonts w:ascii="Calibri" w:hAnsiTheme="minorHAnsi" w:cstheme="minorBidi"/>
      <w:i/>
      <w:color w:val="1F497D" w:themeColor="text2"/>
      <w:sz w:val="18"/>
    </w:rPr>
  </w:style>
  <w:style w:type="character" w:customStyle="1" w:styleId="Strong1">
    <w:name w:val="Strong1"/>
    <w:uiPriority w:val="1"/>
    <w:unhideWhenUsed/>
    <w:qFormat/>
    <w:rsid w:val="006C15DA"/>
    <w:rPr>
      <w:rFonts w:ascii="Calibri"/>
      <w:b/>
    </w:rPr>
  </w:style>
  <w:style w:type="paragraph" w:customStyle="1" w:styleId="paragraph">
    <w:name w:val="paragraph"/>
    <w:basedOn w:val="Normal"/>
    <w:rsid w:val="006C15DA"/>
    <w:pPr>
      <w:spacing w:before="100" w:beforeAutospacing="1" w:after="100" w:afterAutospacing="1"/>
    </w:pPr>
  </w:style>
  <w:style w:type="character" w:customStyle="1" w:styleId="normaltextrun">
    <w:name w:val="normaltextrun"/>
    <w:basedOn w:val="DefaultParagraphFont"/>
    <w:rsid w:val="006C15DA"/>
  </w:style>
  <w:style w:type="character" w:customStyle="1" w:styleId="eop">
    <w:name w:val="eop"/>
    <w:basedOn w:val="DefaultParagraphFont"/>
    <w:rsid w:val="006C15DA"/>
  </w:style>
  <w:style w:type="paragraph" w:styleId="Revision">
    <w:name w:val="Revision"/>
    <w:hidden/>
    <w:uiPriority w:val="99"/>
    <w:semiHidden/>
    <w:rsid w:val="006C15DA"/>
    <w:rPr>
      <w:rFonts w:asciiTheme="minorHAnsi" w:eastAsiaTheme="minorHAnsi" w:hAnsiTheme="minorHAnsi" w:cstheme="minorBidi"/>
      <w:color w:val="auto"/>
      <w:lang w:val="en-GB"/>
    </w:rPr>
  </w:style>
  <w:style w:type="paragraph" w:styleId="EndnoteText">
    <w:name w:val="endnote text"/>
    <w:basedOn w:val="Normal"/>
    <w:link w:val="EndnoteTextChar"/>
    <w:uiPriority w:val="99"/>
    <w:semiHidden/>
    <w:unhideWhenUsed/>
    <w:rsid w:val="006C15D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C15DA"/>
    <w:rPr>
      <w:rFonts w:asciiTheme="minorHAnsi" w:eastAsiaTheme="minorHAnsi" w:hAnsiTheme="minorHAnsi" w:cstheme="minorBidi"/>
      <w:color w:val="auto"/>
      <w:sz w:val="20"/>
      <w:szCs w:val="20"/>
      <w:lang w:val="en-GB"/>
    </w:rPr>
  </w:style>
  <w:style w:type="character" w:styleId="EndnoteReference">
    <w:name w:val="endnote reference"/>
    <w:basedOn w:val="DefaultParagraphFont"/>
    <w:uiPriority w:val="99"/>
    <w:semiHidden/>
    <w:unhideWhenUsed/>
    <w:rsid w:val="006C15DA"/>
    <w:rPr>
      <w:vertAlign w:val="superscript"/>
    </w:rPr>
  </w:style>
  <w:style w:type="character" w:customStyle="1" w:styleId="Heading1Char">
    <w:name w:val="Heading 1 Char"/>
    <w:basedOn w:val="DefaultParagraphFont"/>
    <w:link w:val="Heading1"/>
    <w:uiPriority w:val="9"/>
    <w:rsid w:val="00EE05AA"/>
    <w:rPr>
      <w:rFonts w:ascii="Times New Roman" w:eastAsia="Times New Roman" w:hAnsi="Times New Roman" w:cs="Times New Roman"/>
      <w:b/>
      <w:bCs/>
      <w:color w:val="auto"/>
      <w:kern w:val="36"/>
      <w:sz w:val="48"/>
      <w:szCs w:val="48"/>
      <w:lang w:val="en-GB" w:eastAsia="en-GB"/>
    </w:rPr>
  </w:style>
  <w:style w:type="character" w:customStyle="1" w:styleId="Heading2Char">
    <w:name w:val="Heading 2 Char"/>
    <w:basedOn w:val="DefaultParagraphFont"/>
    <w:link w:val="Heading2"/>
    <w:uiPriority w:val="9"/>
    <w:rsid w:val="00EE05AA"/>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EE05AA"/>
    <w:rPr>
      <w:rFonts w:asciiTheme="majorHAnsi" w:eastAsiaTheme="majorEastAsia" w:hAnsiTheme="majorHAnsi" w:cstheme="majorBidi"/>
      <w:color w:val="243F60" w:themeColor="accent1" w:themeShade="7F"/>
      <w:sz w:val="24"/>
      <w:szCs w:val="24"/>
      <w:lang w:val="en-GB"/>
    </w:rPr>
  </w:style>
  <w:style w:type="character" w:customStyle="1" w:styleId="apple-converted-space">
    <w:name w:val="apple-converted-space"/>
    <w:basedOn w:val="DefaultParagraphFont"/>
    <w:rsid w:val="00EE05AA"/>
  </w:style>
  <w:style w:type="character" w:customStyle="1" w:styleId="table-flag-symbol">
    <w:name w:val="table-flag-symbol"/>
    <w:basedOn w:val="DefaultParagraphFont"/>
    <w:rsid w:val="00EE05AA"/>
  </w:style>
  <w:style w:type="character" w:customStyle="1" w:styleId="table-flag-content">
    <w:name w:val="table-flag-content"/>
    <w:basedOn w:val="DefaultParagraphFont"/>
    <w:rsid w:val="00EE05AA"/>
  </w:style>
  <w:style w:type="paragraph" w:customStyle="1" w:styleId="htmlbox">
    <w:name w:val="htmlbox"/>
    <w:basedOn w:val="Normal"/>
    <w:rsid w:val="00EE05AA"/>
    <w:pPr>
      <w:spacing w:before="100" w:beforeAutospacing="1" w:after="100" w:afterAutospacing="1"/>
    </w:pPr>
  </w:style>
  <w:style w:type="paragraph" w:customStyle="1" w:styleId="msonormal0">
    <w:name w:val="msonormal"/>
    <w:basedOn w:val="Normal"/>
    <w:rsid w:val="00EE05AA"/>
    <w:pPr>
      <w:spacing w:before="100" w:beforeAutospacing="1" w:after="100" w:afterAutospacing="1"/>
    </w:pPr>
  </w:style>
  <w:style w:type="character" w:styleId="Strong">
    <w:name w:val="Strong"/>
    <w:basedOn w:val="DefaultParagraphFont"/>
    <w:uiPriority w:val="22"/>
    <w:qFormat/>
    <w:rsid w:val="00EE05AA"/>
    <w:rPr>
      <w:b/>
      <w:bCs/>
    </w:rPr>
  </w:style>
  <w:style w:type="paragraph" w:styleId="Title">
    <w:name w:val="Title"/>
    <w:basedOn w:val="BodyText"/>
    <w:next w:val="BodyText"/>
    <w:link w:val="TitleChar"/>
    <w:uiPriority w:val="10"/>
    <w:qFormat/>
    <w:rsid w:val="00EE05AA"/>
    <w:pPr>
      <w:jc w:val="center"/>
    </w:pPr>
    <w:rPr>
      <w:b/>
      <w:color w:val="5B3E97"/>
      <w:sz w:val="40"/>
      <w:szCs w:val="40"/>
    </w:rPr>
  </w:style>
  <w:style w:type="character" w:customStyle="1" w:styleId="TitleChar">
    <w:name w:val="Title Char"/>
    <w:basedOn w:val="DefaultParagraphFont"/>
    <w:link w:val="Title"/>
    <w:uiPriority w:val="10"/>
    <w:rsid w:val="00EE05AA"/>
    <w:rPr>
      <w:rFonts w:eastAsia="Arial"/>
      <w:b/>
      <w:color w:val="5B3E97"/>
      <w:sz w:val="40"/>
      <w:szCs w:val="40"/>
      <w:lang w:val="en-GB" w:eastAsia="en-GB"/>
    </w:rPr>
  </w:style>
  <w:style w:type="paragraph" w:styleId="BodyText">
    <w:name w:val="Body Text"/>
    <w:link w:val="BodyTextChar"/>
    <w:qFormat/>
    <w:rsid w:val="00EE05AA"/>
    <w:rPr>
      <w:rFonts w:eastAsia="Arial"/>
      <w:color w:val="auto"/>
      <w:sz w:val="20"/>
      <w:szCs w:val="20"/>
      <w:lang w:val="en-GB" w:eastAsia="en-GB"/>
    </w:rPr>
  </w:style>
  <w:style w:type="character" w:customStyle="1" w:styleId="BodyTextChar">
    <w:name w:val="Body Text Char"/>
    <w:basedOn w:val="DefaultParagraphFont"/>
    <w:link w:val="BodyText"/>
    <w:rsid w:val="00EE05AA"/>
    <w:rPr>
      <w:rFonts w:eastAsia="Arial"/>
      <w:color w:val="auto"/>
      <w:sz w:val="20"/>
      <w:szCs w:val="20"/>
      <w:lang w:val="en-GB" w:eastAsia="en-GB"/>
    </w:rPr>
  </w:style>
  <w:style w:type="paragraph" w:customStyle="1" w:styleId="Heading21">
    <w:name w:val="Heading 21"/>
    <w:basedOn w:val="Normal"/>
    <w:next w:val="Normal"/>
    <w:uiPriority w:val="9"/>
    <w:unhideWhenUsed/>
    <w:qFormat/>
    <w:rsid w:val="0079774D"/>
    <w:pPr>
      <w:keepNext/>
      <w:keepLines/>
      <w:spacing w:before="40"/>
      <w:outlineLvl w:val="1"/>
    </w:pPr>
    <w:rPr>
      <w:rFonts w:ascii="Calibri" w:eastAsia="MS Gothic" w:hAnsi="Calibri"/>
      <w:color w:val="365F91"/>
      <w:sz w:val="26"/>
      <w:szCs w:val="26"/>
    </w:rPr>
  </w:style>
  <w:style w:type="paragraph" w:customStyle="1" w:styleId="Heading31">
    <w:name w:val="Heading 31"/>
    <w:basedOn w:val="Normal"/>
    <w:next w:val="Normal"/>
    <w:uiPriority w:val="9"/>
    <w:unhideWhenUsed/>
    <w:qFormat/>
    <w:rsid w:val="0079774D"/>
    <w:pPr>
      <w:keepNext/>
      <w:keepLines/>
      <w:spacing w:before="40"/>
      <w:outlineLvl w:val="2"/>
    </w:pPr>
    <w:rPr>
      <w:rFonts w:ascii="Calibri" w:eastAsia="MS Gothic" w:hAnsi="Calibri"/>
      <w:color w:val="243F60"/>
    </w:rPr>
  </w:style>
  <w:style w:type="numbering" w:customStyle="1" w:styleId="NoList1">
    <w:name w:val="No List1"/>
    <w:next w:val="NoList"/>
    <w:uiPriority w:val="99"/>
    <w:semiHidden/>
    <w:unhideWhenUsed/>
    <w:rsid w:val="0079774D"/>
  </w:style>
  <w:style w:type="character" w:customStyle="1" w:styleId="FollowedHyperlink1">
    <w:name w:val="FollowedHyperlink1"/>
    <w:basedOn w:val="DefaultParagraphFont"/>
    <w:uiPriority w:val="99"/>
    <w:semiHidden/>
    <w:unhideWhenUsed/>
    <w:rsid w:val="0079774D"/>
    <w:rPr>
      <w:color w:val="800080"/>
      <w:u w:val="single"/>
    </w:rPr>
  </w:style>
  <w:style w:type="paragraph" w:customStyle="1" w:styleId="FootnoteText1">
    <w:name w:val="Footnote Text1"/>
    <w:basedOn w:val="Normal"/>
    <w:next w:val="FootnoteText"/>
    <w:uiPriority w:val="99"/>
    <w:semiHidden/>
    <w:unhideWhenUsed/>
    <w:rsid w:val="0079774D"/>
    <w:rPr>
      <w:rFonts w:ascii="Cambria" w:eastAsia="Cambria" w:hAnsi="Cambria"/>
      <w:sz w:val="20"/>
      <w:szCs w:val="20"/>
    </w:rPr>
  </w:style>
  <w:style w:type="table" w:customStyle="1" w:styleId="TableGrid1">
    <w:name w:val="Table Grid1"/>
    <w:basedOn w:val="TableNormal"/>
    <w:next w:val="TableGrid"/>
    <w:uiPriority w:val="39"/>
    <w:rsid w:val="0079774D"/>
    <w:rPr>
      <w:rFonts w:asciiTheme="minorHAnsi" w:eastAsia="MS Mincho" w:hAnsiTheme="minorHAnsi" w:cstheme="minorBidi"/>
      <w:color w:val="auto"/>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79774D"/>
    <w:rPr>
      <w:rFonts w:asciiTheme="minorHAnsi" w:eastAsiaTheme="minorHAnsi" w:hAnsiTheme="minorHAnsi" w:cstheme="minorBidi"/>
      <w:color w:val="auto"/>
      <w:lang w:val="en-GB"/>
    </w:rPr>
  </w:style>
  <w:style w:type="paragraph" w:customStyle="1" w:styleId="EndnoteText1">
    <w:name w:val="Endnote Text1"/>
    <w:basedOn w:val="Normal"/>
    <w:next w:val="EndnoteText"/>
    <w:uiPriority w:val="99"/>
    <w:semiHidden/>
    <w:unhideWhenUsed/>
    <w:rsid w:val="0079774D"/>
    <w:rPr>
      <w:rFonts w:ascii="Cambria" w:eastAsia="Cambria" w:hAnsi="Cambria"/>
      <w:sz w:val="20"/>
      <w:szCs w:val="20"/>
    </w:rPr>
  </w:style>
  <w:style w:type="character" w:customStyle="1" w:styleId="FootnoteTextChar1">
    <w:name w:val="Footnote Text Char1"/>
    <w:basedOn w:val="DefaultParagraphFont"/>
    <w:uiPriority w:val="99"/>
    <w:semiHidden/>
    <w:rsid w:val="0079774D"/>
    <w:rPr>
      <w:sz w:val="20"/>
      <w:szCs w:val="20"/>
    </w:rPr>
  </w:style>
  <w:style w:type="character" w:customStyle="1" w:styleId="EndnoteTextChar1">
    <w:name w:val="Endnote Text Char1"/>
    <w:basedOn w:val="DefaultParagraphFont"/>
    <w:uiPriority w:val="99"/>
    <w:semiHidden/>
    <w:rsid w:val="0079774D"/>
    <w:rPr>
      <w:sz w:val="20"/>
      <w:szCs w:val="20"/>
    </w:rPr>
  </w:style>
  <w:style w:type="character" w:customStyle="1" w:styleId="Heading2Char1">
    <w:name w:val="Heading 2 Char1"/>
    <w:basedOn w:val="DefaultParagraphFont"/>
    <w:uiPriority w:val="9"/>
    <w:semiHidden/>
    <w:rsid w:val="0079774D"/>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79774D"/>
    <w:rPr>
      <w:rFonts w:asciiTheme="majorHAnsi" w:eastAsiaTheme="majorEastAsia" w:hAnsiTheme="majorHAnsi" w:cstheme="majorBidi"/>
      <w:color w:val="243F60" w:themeColor="accent1" w:themeShade="7F"/>
      <w:sz w:val="24"/>
      <w:szCs w:val="24"/>
    </w:rPr>
  </w:style>
  <w:style w:type="character" w:customStyle="1" w:styleId="authors">
    <w:name w:val="authors"/>
    <w:basedOn w:val="DefaultParagraphFont"/>
    <w:rsid w:val="00584D13"/>
  </w:style>
  <w:style w:type="character" w:customStyle="1" w:styleId="Date1">
    <w:name w:val="Date1"/>
    <w:basedOn w:val="DefaultParagraphFont"/>
    <w:rsid w:val="00584D13"/>
  </w:style>
  <w:style w:type="character" w:customStyle="1" w:styleId="arttitle">
    <w:name w:val="art_title"/>
    <w:basedOn w:val="DefaultParagraphFont"/>
    <w:rsid w:val="00584D13"/>
  </w:style>
  <w:style w:type="character" w:customStyle="1" w:styleId="serialtitle">
    <w:name w:val="serial_title"/>
    <w:basedOn w:val="DefaultParagraphFont"/>
    <w:rsid w:val="00584D13"/>
  </w:style>
  <w:style w:type="character" w:customStyle="1" w:styleId="volumeissue">
    <w:name w:val="volume_issue"/>
    <w:basedOn w:val="DefaultParagraphFont"/>
    <w:rsid w:val="00584D13"/>
  </w:style>
  <w:style w:type="character" w:customStyle="1" w:styleId="pagerange">
    <w:name w:val="page_range"/>
    <w:basedOn w:val="DefaultParagraphFont"/>
    <w:rsid w:val="00584D13"/>
  </w:style>
  <w:style w:type="character" w:customStyle="1" w:styleId="doilink">
    <w:name w:val="doi_link"/>
    <w:basedOn w:val="DefaultParagraphFont"/>
    <w:rsid w:val="00584D13"/>
  </w:style>
  <w:style w:type="character" w:customStyle="1" w:styleId="epub-state">
    <w:name w:val="epub-state"/>
    <w:basedOn w:val="DefaultParagraphFont"/>
    <w:rsid w:val="00482104"/>
  </w:style>
  <w:style w:type="character" w:customStyle="1" w:styleId="epub-date">
    <w:name w:val="epub-date"/>
    <w:basedOn w:val="DefaultParagraphFont"/>
    <w:rsid w:val="00482104"/>
  </w:style>
  <w:style w:type="character" w:customStyle="1" w:styleId="openurl">
    <w:name w:val="openurl"/>
    <w:basedOn w:val="DefaultParagraphFont"/>
    <w:rsid w:val="00482104"/>
  </w:style>
  <w:style w:type="character" w:customStyle="1" w:styleId="nlmarticle-title">
    <w:name w:val="nlm_article-title"/>
    <w:basedOn w:val="DefaultParagraphFont"/>
    <w:rsid w:val="00482104"/>
  </w:style>
  <w:style w:type="character" w:customStyle="1" w:styleId="contribdegrees">
    <w:name w:val="contribdegrees"/>
    <w:basedOn w:val="DefaultParagraphFont"/>
    <w:rsid w:val="00482104"/>
  </w:style>
  <w:style w:type="character" w:customStyle="1" w:styleId="nlmyear">
    <w:name w:val="nlm_year"/>
    <w:basedOn w:val="DefaultParagraphFont"/>
    <w:rsid w:val="00301C85"/>
  </w:style>
  <w:style w:type="character" w:customStyle="1" w:styleId="nlmfpage">
    <w:name w:val="nlm_fpage"/>
    <w:basedOn w:val="DefaultParagraphFont"/>
    <w:rsid w:val="00301C85"/>
  </w:style>
  <w:style w:type="character" w:customStyle="1" w:styleId="nlmlpage">
    <w:name w:val="nlm_lpage"/>
    <w:basedOn w:val="DefaultParagraphFont"/>
    <w:rsid w:val="00301C85"/>
  </w:style>
  <w:style w:type="character" w:customStyle="1" w:styleId="author">
    <w:name w:val="author"/>
    <w:basedOn w:val="DefaultParagraphFont"/>
    <w:rsid w:val="00301C85"/>
  </w:style>
  <w:style w:type="character" w:customStyle="1" w:styleId="articletitle">
    <w:name w:val="articletitle"/>
    <w:basedOn w:val="DefaultParagraphFont"/>
    <w:rsid w:val="00301C85"/>
  </w:style>
  <w:style w:type="character" w:customStyle="1" w:styleId="pubyear">
    <w:name w:val="pubyear"/>
    <w:basedOn w:val="DefaultParagraphFont"/>
    <w:rsid w:val="00301C85"/>
  </w:style>
  <w:style w:type="character" w:customStyle="1" w:styleId="vol">
    <w:name w:val="vol"/>
    <w:basedOn w:val="DefaultParagraphFont"/>
    <w:rsid w:val="00301C85"/>
  </w:style>
  <w:style w:type="character" w:customStyle="1" w:styleId="pagefirst">
    <w:name w:val="pagefirst"/>
    <w:basedOn w:val="DefaultParagraphFont"/>
    <w:rsid w:val="00301C85"/>
  </w:style>
  <w:style w:type="character" w:customStyle="1" w:styleId="pagelast">
    <w:name w:val="pagelast"/>
    <w:basedOn w:val="DefaultParagraphFont"/>
    <w:rsid w:val="00301C85"/>
  </w:style>
  <w:style w:type="character" w:styleId="Emphasis">
    <w:name w:val="Emphasis"/>
    <w:basedOn w:val="DefaultParagraphFont"/>
    <w:uiPriority w:val="20"/>
    <w:qFormat/>
    <w:rsid w:val="008069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389">
      <w:bodyDiv w:val="1"/>
      <w:marLeft w:val="0"/>
      <w:marRight w:val="0"/>
      <w:marTop w:val="0"/>
      <w:marBottom w:val="0"/>
      <w:divBdr>
        <w:top w:val="none" w:sz="0" w:space="0" w:color="auto"/>
        <w:left w:val="none" w:sz="0" w:space="0" w:color="auto"/>
        <w:bottom w:val="none" w:sz="0" w:space="0" w:color="auto"/>
        <w:right w:val="none" w:sz="0" w:space="0" w:color="auto"/>
      </w:divBdr>
    </w:div>
    <w:div w:id="62021743">
      <w:bodyDiv w:val="1"/>
      <w:marLeft w:val="0"/>
      <w:marRight w:val="0"/>
      <w:marTop w:val="0"/>
      <w:marBottom w:val="0"/>
      <w:divBdr>
        <w:top w:val="none" w:sz="0" w:space="0" w:color="auto"/>
        <w:left w:val="none" w:sz="0" w:space="0" w:color="auto"/>
        <w:bottom w:val="none" w:sz="0" w:space="0" w:color="auto"/>
        <w:right w:val="none" w:sz="0" w:space="0" w:color="auto"/>
      </w:divBdr>
    </w:div>
    <w:div w:id="91291757">
      <w:bodyDiv w:val="1"/>
      <w:marLeft w:val="0"/>
      <w:marRight w:val="0"/>
      <w:marTop w:val="0"/>
      <w:marBottom w:val="0"/>
      <w:divBdr>
        <w:top w:val="none" w:sz="0" w:space="0" w:color="auto"/>
        <w:left w:val="none" w:sz="0" w:space="0" w:color="auto"/>
        <w:bottom w:val="none" w:sz="0" w:space="0" w:color="auto"/>
        <w:right w:val="none" w:sz="0" w:space="0" w:color="auto"/>
      </w:divBdr>
    </w:div>
    <w:div w:id="96029861">
      <w:bodyDiv w:val="1"/>
      <w:marLeft w:val="0"/>
      <w:marRight w:val="0"/>
      <w:marTop w:val="0"/>
      <w:marBottom w:val="0"/>
      <w:divBdr>
        <w:top w:val="none" w:sz="0" w:space="0" w:color="auto"/>
        <w:left w:val="none" w:sz="0" w:space="0" w:color="auto"/>
        <w:bottom w:val="none" w:sz="0" w:space="0" w:color="auto"/>
        <w:right w:val="none" w:sz="0" w:space="0" w:color="auto"/>
      </w:divBdr>
    </w:div>
    <w:div w:id="154687037">
      <w:bodyDiv w:val="1"/>
      <w:marLeft w:val="0"/>
      <w:marRight w:val="0"/>
      <w:marTop w:val="0"/>
      <w:marBottom w:val="0"/>
      <w:divBdr>
        <w:top w:val="none" w:sz="0" w:space="0" w:color="auto"/>
        <w:left w:val="none" w:sz="0" w:space="0" w:color="auto"/>
        <w:bottom w:val="none" w:sz="0" w:space="0" w:color="auto"/>
        <w:right w:val="none" w:sz="0" w:space="0" w:color="auto"/>
      </w:divBdr>
    </w:div>
    <w:div w:id="166948448">
      <w:bodyDiv w:val="1"/>
      <w:marLeft w:val="0"/>
      <w:marRight w:val="0"/>
      <w:marTop w:val="0"/>
      <w:marBottom w:val="0"/>
      <w:divBdr>
        <w:top w:val="none" w:sz="0" w:space="0" w:color="auto"/>
        <w:left w:val="none" w:sz="0" w:space="0" w:color="auto"/>
        <w:bottom w:val="none" w:sz="0" w:space="0" w:color="auto"/>
        <w:right w:val="none" w:sz="0" w:space="0" w:color="auto"/>
      </w:divBdr>
    </w:div>
    <w:div w:id="210194160">
      <w:bodyDiv w:val="1"/>
      <w:marLeft w:val="0"/>
      <w:marRight w:val="0"/>
      <w:marTop w:val="0"/>
      <w:marBottom w:val="0"/>
      <w:divBdr>
        <w:top w:val="none" w:sz="0" w:space="0" w:color="auto"/>
        <w:left w:val="none" w:sz="0" w:space="0" w:color="auto"/>
        <w:bottom w:val="none" w:sz="0" w:space="0" w:color="auto"/>
        <w:right w:val="none" w:sz="0" w:space="0" w:color="auto"/>
      </w:divBdr>
    </w:div>
    <w:div w:id="226189976">
      <w:bodyDiv w:val="1"/>
      <w:marLeft w:val="0"/>
      <w:marRight w:val="0"/>
      <w:marTop w:val="0"/>
      <w:marBottom w:val="0"/>
      <w:divBdr>
        <w:top w:val="none" w:sz="0" w:space="0" w:color="auto"/>
        <w:left w:val="none" w:sz="0" w:space="0" w:color="auto"/>
        <w:bottom w:val="none" w:sz="0" w:space="0" w:color="auto"/>
        <w:right w:val="none" w:sz="0" w:space="0" w:color="auto"/>
      </w:divBdr>
    </w:div>
    <w:div w:id="328143231">
      <w:bodyDiv w:val="1"/>
      <w:marLeft w:val="0"/>
      <w:marRight w:val="0"/>
      <w:marTop w:val="0"/>
      <w:marBottom w:val="0"/>
      <w:divBdr>
        <w:top w:val="none" w:sz="0" w:space="0" w:color="auto"/>
        <w:left w:val="none" w:sz="0" w:space="0" w:color="auto"/>
        <w:bottom w:val="none" w:sz="0" w:space="0" w:color="auto"/>
        <w:right w:val="none" w:sz="0" w:space="0" w:color="auto"/>
      </w:divBdr>
    </w:div>
    <w:div w:id="403376856">
      <w:bodyDiv w:val="1"/>
      <w:marLeft w:val="0"/>
      <w:marRight w:val="0"/>
      <w:marTop w:val="0"/>
      <w:marBottom w:val="0"/>
      <w:divBdr>
        <w:top w:val="none" w:sz="0" w:space="0" w:color="auto"/>
        <w:left w:val="none" w:sz="0" w:space="0" w:color="auto"/>
        <w:bottom w:val="none" w:sz="0" w:space="0" w:color="auto"/>
        <w:right w:val="none" w:sz="0" w:space="0" w:color="auto"/>
      </w:divBdr>
    </w:div>
    <w:div w:id="421953222">
      <w:bodyDiv w:val="1"/>
      <w:marLeft w:val="0"/>
      <w:marRight w:val="0"/>
      <w:marTop w:val="0"/>
      <w:marBottom w:val="0"/>
      <w:divBdr>
        <w:top w:val="none" w:sz="0" w:space="0" w:color="auto"/>
        <w:left w:val="none" w:sz="0" w:space="0" w:color="auto"/>
        <w:bottom w:val="none" w:sz="0" w:space="0" w:color="auto"/>
        <w:right w:val="none" w:sz="0" w:space="0" w:color="auto"/>
      </w:divBdr>
    </w:div>
    <w:div w:id="424037199">
      <w:bodyDiv w:val="1"/>
      <w:marLeft w:val="0"/>
      <w:marRight w:val="0"/>
      <w:marTop w:val="0"/>
      <w:marBottom w:val="0"/>
      <w:divBdr>
        <w:top w:val="none" w:sz="0" w:space="0" w:color="auto"/>
        <w:left w:val="none" w:sz="0" w:space="0" w:color="auto"/>
        <w:bottom w:val="none" w:sz="0" w:space="0" w:color="auto"/>
        <w:right w:val="none" w:sz="0" w:space="0" w:color="auto"/>
      </w:divBdr>
      <w:divsChild>
        <w:div w:id="1515919102">
          <w:marLeft w:val="0"/>
          <w:marRight w:val="0"/>
          <w:marTop w:val="0"/>
          <w:marBottom w:val="0"/>
          <w:divBdr>
            <w:top w:val="none" w:sz="0" w:space="0" w:color="auto"/>
            <w:left w:val="none" w:sz="0" w:space="0" w:color="auto"/>
            <w:bottom w:val="none" w:sz="0" w:space="0" w:color="auto"/>
            <w:right w:val="none" w:sz="0" w:space="0" w:color="auto"/>
          </w:divBdr>
          <w:divsChild>
            <w:div w:id="102070880">
              <w:marLeft w:val="0"/>
              <w:marRight w:val="0"/>
              <w:marTop w:val="0"/>
              <w:marBottom w:val="0"/>
              <w:divBdr>
                <w:top w:val="none" w:sz="0" w:space="0" w:color="auto"/>
                <w:left w:val="none" w:sz="0" w:space="0" w:color="auto"/>
                <w:bottom w:val="none" w:sz="0" w:space="0" w:color="auto"/>
                <w:right w:val="none" w:sz="0" w:space="0" w:color="auto"/>
              </w:divBdr>
              <w:divsChild>
                <w:div w:id="1545830205">
                  <w:marLeft w:val="0"/>
                  <w:marRight w:val="0"/>
                  <w:marTop w:val="0"/>
                  <w:marBottom w:val="0"/>
                  <w:divBdr>
                    <w:top w:val="none" w:sz="0" w:space="0" w:color="auto"/>
                    <w:left w:val="none" w:sz="0" w:space="0" w:color="auto"/>
                    <w:bottom w:val="none" w:sz="0" w:space="0" w:color="auto"/>
                    <w:right w:val="none" w:sz="0" w:space="0" w:color="auto"/>
                  </w:divBdr>
                  <w:divsChild>
                    <w:div w:id="974406256">
                      <w:marLeft w:val="0"/>
                      <w:marRight w:val="0"/>
                      <w:marTop w:val="0"/>
                      <w:marBottom w:val="0"/>
                      <w:divBdr>
                        <w:top w:val="none" w:sz="0" w:space="0" w:color="auto"/>
                        <w:left w:val="none" w:sz="0" w:space="0" w:color="auto"/>
                        <w:bottom w:val="none" w:sz="0" w:space="0" w:color="auto"/>
                        <w:right w:val="none" w:sz="0" w:space="0" w:color="auto"/>
                      </w:divBdr>
                      <w:divsChild>
                        <w:div w:id="2010329113">
                          <w:marLeft w:val="0"/>
                          <w:marRight w:val="0"/>
                          <w:marTop w:val="0"/>
                          <w:marBottom w:val="0"/>
                          <w:divBdr>
                            <w:top w:val="none" w:sz="0" w:space="0" w:color="auto"/>
                            <w:left w:val="none" w:sz="0" w:space="0" w:color="auto"/>
                            <w:bottom w:val="none" w:sz="0" w:space="0" w:color="auto"/>
                            <w:right w:val="none" w:sz="0" w:space="0" w:color="auto"/>
                          </w:divBdr>
                          <w:divsChild>
                            <w:div w:id="737871492">
                              <w:marLeft w:val="0"/>
                              <w:marRight w:val="0"/>
                              <w:marTop w:val="0"/>
                              <w:marBottom w:val="0"/>
                              <w:divBdr>
                                <w:top w:val="none" w:sz="0" w:space="0" w:color="auto"/>
                                <w:left w:val="none" w:sz="0" w:space="0" w:color="auto"/>
                                <w:bottom w:val="none" w:sz="0" w:space="0" w:color="auto"/>
                                <w:right w:val="none" w:sz="0" w:space="0" w:color="auto"/>
                              </w:divBdr>
                              <w:divsChild>
                                <w:div w:id="1538591569">
                                  <w:marLeft w:val="0"/>
                                  <w:marRight w:val="0"/>
                                  <w:marTop w:val="0"/>
                                  <w:marBottom w:val="0"/>
                                  <w:divBdr>
                                    <w:top w:val="none" w:sz="0" w:space="0" w:color="auto"/>
                                    <w:left w:val="none" w:sz="0" w:space="0" w:color="auto"/>
                                    <w:bottom w:val="none" w:sz="0" w:space="0" w:color="auto"/>
                                    <w:right w:val="none" w:sz="0" w:space="0" w:color="auto"/>
                                  </w:divBdr>
                                  <w:divsChild>
                                    <w:div w:id="796995620">
                                      <w:marLeft w:val="0"/>
                                      <w:marRight w:val="0"/>
                                      <w:marTop w:val="0"/>
                                      <w:marBottom w:val="0"/>
                                      <w:divBdr>
                                        <w:top w:val="none" w:sz="0" w:space="0" w:color="auto"/>
                                        <w:left w:val="none" w:sz="0" w:space="0" w:color="auto"/>
                                        <w:bottom w:val="none" w:sz="0" w:space="0" w:color="auto"/>
                                        <w:right w:val="none" w:sz="0" w:space="0" w:color="auto"/>
                                      </w:divBdr>
                                      <w:divsChild>
                                        <w:div w:id="2084794891">
                                          <w:marLeft w:val="0"/>
                                          <w:marRight w:val="0"/>
                                          <w:marTop w:val="0"/>
                                          <w:marBottom w:val="0"/>
                                          <w:divBdr>
                                            <w:top w:val="none" w:sz="0" w:space="0" w:color="auto"/>
                                            <w:left w:val="none" w:sz="0" w:space="0" w:color="auto"/>
                                            <w:bottom w:val="none" w:sz="0" w:space="0" w:color="auto"/>
                                            <w:right w:val="none" w:sz="0" w:space="0" w:color="auto"/>
                                          </w:divBdr>
                                          <w:divsChild>
                                            <w:div w:id="1800536634">
                                              <w:marLeft w:val="0"/>
                                              <w:marRight w:val="0"/>
                                              <w:marTop w:val="0"/>
                                              <w:marBottom w:val="0"/>
                                              <w:divBdr>
                                                <w:top w:val="none" w:sz="0" w:space="0" w:color="auto"/>
                                                <w:left w:val="none" w:sz="0" w:space="0" w:color="auto"/>
                                                <w:bottom w:val="none" w:sz="0" w:space="0" w:color="auto"/>
                                                <w:right w:val="none" w:sz="0" w:space="0" w:color="auto"/>
                                              </w:divBdr>
                                              <w:divsChild>
                                                <w:div w:id="1708946199">
                                                  <w:marLeft w:val="0"/>
                                                  <w:marRight w:val="0"/>
                                                  <w:marTop w:val="0"/>
                                                  <w:marBottom w:val="0"/>
                                                  <w:divBdr>
                                                    <w:top w:val="none" w:sz="0" w:space="0" w:color="auto"/>
                                                    <w:left w:val="none" w:sz="0" w:space="0" w:color="auto"/>
                                                    <w:bottom w:val="none" w:sz="0" w:space="0" w:color="auto"/>
                                                    <w:right w:val="none" w:sz="0" w:space="0" w:color="auto"/>
                                                  </w:divBdr>
                                                  <w:divsChild>
                                                    <w:div w:id="1508207322">
                                                      <w:marLeft w:val="0"/>
                                                      <w:marRight w:val="0"/>
                                                      <w:marTop w:val="0"/>
                                                      <w:marBottom w:val="0"/>
                                                      <w:divBdr>
                                                        <w:top w:val="none" w:sz="0" w:space="0" w:color="auto"/>
                                                        <w:left w:val="none" w:sz="0" w:space="0" w:color="auto"/>
                                                        <w:bottom w:val="none" w:sz="0" w:space="0" w:color="auto"/>
                                                        <w:right w:val="none" w:sz="0" w:space="0" w:color="auto"/>
                                                      </w:divBdr>
                                                      <w:divsChild>
                                                        <w:div w:id="304504818">
                                                          <w:marLeft w:val="0"/>
                                                          <w:marRight w:val="0"/>
                                                          <w:marTop w:val="100"/>
                                                          <w:marBottom w:val="100"/>
                                                          <w:divBdr>
                                                            <w:top w:val="none" w:sz="0" w:space="0" w:color="auto"/>
                                                            <w:left w:val="none" w:sz="0" w:space="0" w:color="auto"/>
                                                            <w:bottom w:val="none" w:sz="0" w:space="0" w:color="auto"/>
                                                            <w:right w:val="none" w:sz="0" w:space="0" w:color="auto"/>
                                                          </w:divBdr>
                                                          <w:divsChild>
                                                            <w:div w:id="1512180774">
                                                              <w:marLeft w:val="0"/>
                                                              <w:marRight w:val="0"/>
                                                              <w:marTop w:val="0"/>
                                                              <w:marBottom w:val="0"/>
                                                              <w:divBdr>
                                                                <w:top w:val="none" w:sz="0" w:space="0" w:color="auto"/>
                                                                <w:left w:val="none" w:sz="0" w:space="0" w:color="auto"/>
                                                                <w:bottom w:val="none" w:sz="0" w:space="0" w:color="auto"/>
                                                                <w:right w:val="none" w:sz="0" w:space="0" w:color="auto"/>
                                                              </w:divBdr>
                                                              <w:divsChild>
                                                                <w:div w:id="855270076">
                                                                  <w:marLeft w:val="0"/>
                                                                  <w:marRight w:val="0"/>
                                                                  <w:marTop w:val="0"/>
                                                                  <w:marBottom w:val="0"/>
                                                                  <w:divBdr>
                                                                    <w:top w:val="none" w:sz="0" w:space="0" w:color="auto"/>
                                                                    <w:left w:val="none" w:sz="0" w:space="0" w:color="auto"/>
                                                                    <w:bottom w:val="none" w:sz="0" w:space="0" w:color="auto"/>
                                                                    <w:right w:val="none" w:sz="0" w:space="0" w:color="auto"/>
                                                                  </w:divBdr>
                                                                  <w:divsChild>
                                                                    <w:div w:id="752774670">
                                                                      <w:marLeft w:val="0"/>
                                                                      <w:marRight w:val="0"/>
                                                                      <w:marTop w:val="0"/>
                                                                      <w:marBottom w:val="0"/>
                                                                      <w:divBdr>
                                                                        <w:top w:val="none" w:sz="0" w:space="0" w:color="auto"/>
                                                                        <w:left w:val="none" w:sz="0" w:space="0" w:color="auto"/>
                                                                        <w:bottom w:val="none" w:sz="0" w:space="0" w:color="auto"/>
                                                                        <w:right w:val="none" w:sz="0" w:space="0" w:color="auto"/>
                                                                      </w:divBdr>
                                                                      <w:divsChild>
                                                                        <w:div w:id="6431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908079">
      <w:bodyDiv w:val="1"/>
      <w:marLeft w:val="0"/>
      <w:marRight w:val="0"/>
      <w:marTop w:val="0"/>
      <w:marBottom w:val="0"/>
      <w:divBdr>
        <w:top w:val="none" w:sz="0" w:space="0" w:color="auto"/>
        <w:left w:val="none" w:sz="0" w:space="0" w:color="auto"/>
        <w:bottom w:val="none" w:sz="0" w:space="0" w:color="auto"/>
        <w:right w:val="none" w:sz="0" w:space="0" w:color="auto"/>
      </w:divBdr>
    </w:div>
    <w:div w:id="476918430">
      <w:bodyDiv w:val="1"/>
      <w:marLeft w:val="0"/>
      <w:marRight w:val="0"/>
      <w:marTop w:val="0"/>
      <w:marBottom w:val="0"/>
      <w:divBdr>
        <w:top w:val="none" w:sz="0" w:space="0" w:color="auto"/>
        <w:left w:val="none" w:sz="0" w:space="0" w:color="auto"/>
        <w:bottom w:val="none" w:sz="0" w:space="0" w:color="auto"/>
        <w:right w:val="none" w:sz="0" w:space="0" w:color="auto"/>
      </w:divBdr>
    </w:div>
    <w:div w:id="508525671">
      <w:bodyDiv w:val="1"/>
      <w:marLeft w:val="0"/>
      <w:marRight w:val="0"/>
      <w:marTop w:val="0"/>
      <w:marBottom w:val="0"/>
      <w:divBdr>
        <w:top w:val="none" w:sz="0" w:space="0" w:color="auto"/>
        <w:left w:val="none" w:sz="0" w:space="0" w:color="auto"/>
        <w:bottom w:val="none" w:sz="0" w:space="0" w:color="auto"/>
        <w:right w:val="none" w:sz="0" w:space="0" w:color="auto"/>
      </w:divBdr>
    </w:div>
    <w:div w:id="534391361">
      <w:bodyDiv w:val="1"/>
      <w:marLeft w:val="0"/>
      <w:marRight w:val="0"/>
      <w:marTop w:val="0"/>
      <w:marBottom w:val="0"/>
      <w:divBdr>
        <w:top w:val="none" w:sz="0" w:space="0" w:color="auto"/>
        <w:left w:val="none" w:sz="0" w:space="0" w:color="auto"/>
        <w:bottom w:val="none" w:sz="0" w:space="0" w:color="auto"/>
        <w:right w:val="none" w:sz="0" w:space="0" w:color="auto"/>
      </w:divBdr>
    </w:div>
    <w:div w:id="704599889">
      <w:bodyDiv w:val="1"/>
      <w:marLeft w:val="0"/>
      <w:marRight w:val="0"/>
      <w:marTop w:val="0"/>
      <w:marBottom w:val="0"/>
      <w:divBdr>
        <w:top w:val="none" w:sz="0" w:space="0" w:color="auto"/>
        <w:left w:val="none" w:sz="0" w:space="0" w:color="auto"/>
        <w:bottom w:val="none" w:sz="0" w:space="0" w:color="auto"/>
        <w:right w:val="none" w:sz="0" w:space="0" w:color="auto"/>
      </w:divBdr>
    </w:div>
    <w:div w:id="709038755">
      <w:bodyDiv w:val="1"/>
      <w:marLeft w:val="0"/>
      <w:marRight w:val="0"/>
      <w:marTop w:val="0"/>
      <w:marBottom w:val="0"/>
      <w:divBdr>
        <w:top w:val="none" w:sz="0" w:space="0" w:color="auto"/>
        <w:left w:val="none" w:sz="0" w:space="0" w:color="auto"/>
        <w:bottom w:val="none" w:sz="0" w:space="0" w:color="auto"/>
        <w:right w:val="none" w:sz="0" w:space="0" w:color="auto"/>
      </w:divBdr>
    </w:div>
    <w:div w:id="723678296">
      <w:bodyDiv w:val="1"/>
      <w:marLeft w:val="0"/>
      <w:marRight w:val="0"/>
      <w:marTop w:val="0"/>
      <w:marBottom w:val="0"/>
      <w:divBdr>
        <w:top w:val="none" w:sz="0" w:space="0" w:color="auto"/>
        <w:left w:val="none" w:sz="0" w:space="0" w:color="auto"/>
        <w:bottom w:val="none" w:sz="0" w:space="0" w:color="auto"/>
        <w:right w:val="none" w:sz="0" w:space="0" w:color="auto"/>
      </w:divBdr>
    </w:div>
    <w:div w:id="729426333">
      <w:bodyDiv w:val="1"/>
      <w:marLeft w:val="0"/>
      <w:marRight w:val="0"/>
      <w:marTop w:val="0"/>
      <w:marBottom w:val="0"/>
      <w:divBdr>
        <w:top w:val="none" w:sz="0" w:space="0" w:color="auto"/>
        <w:left w:val="none" w:sz="0" w:space="0" w:color="auto"/>
        <w:bottom w:val="none" w:sz="0" w:space="0" w:color="auto"/>
        <w:right w:val="none" w:sz="0" w:space="0" w:color="auto"/>
      </w:divBdr>
    </w:div>
    <w:div w:id="757215147">
      <w:bodyDiv w:val="1"/>
      <w:marLeft w:val="0"/>
      <w:marRight w:val="0"/>
      <w:marTop w:val="0"/>
      <w:marBottom w:val="0"/>
      <w:divBdr>
        <w:top w:val="none" w:sz="0" w:space="0" w:color="auto"/>
        <w:left w:val="none" w:sz="0" w:space="0" w:color="auto"/>
        <w:bottom w:val="none" w:sz="0" w:space="0" w:color="auto"/>
        <w:right w:val="none" w:sz="0" w:space="0" w:color="auto"/>
      </w:divBdr>
    </w:div>
    <w:div w:id="778600407">
      <w:bodyDiv w:val="1"/>
      <w:marLeft w:val="0"/>
      <w:marRight w:val="0"/>
      <w:marTop w:val="0"/>
      <w:marBottom w:val="0"/>
      <w:divBdr>
        <w:top w:val="none" w:sz="0" w:space="0" w:color="auto"/>
        <w:left w:val="none" w:sz="0" w:space="0" w:color="auto"/>
        <w:bottom w:val="none" w:sz="0" w:space="0" w:color="auto"/>
        <w:right w:val="none" w:sz="0" w:space="0" w:color="auto"/>
      </w:divBdr>
    </w:div>
    <w:div w:id="789126716">
      <w:bodyDiv w:val="1"/>
      <w:marLeft w:val="0"/>
      <w:marRight w:val="0"/>
      <w:marTop w:val="0"/>
      <w:marBottom w:val="0"/>
      <w:divBdr>
        <w:top w:val="none" w:sz="0" w:space="0" w:color="auto"/>
        <w:left w:val="none" w:sz="0" w:space="0" w:color="auto"/>
        <w:bottom w:val="none" w:sz="0" w:space="0" w:color="auto"/>
        <w:right w:val="none" w:sz="0" w:space="0" w:color="auto"/>
      </w:divBdr>
    </w:div>
    <w:div w:id="804546390">
      <w:bodyDiv w:val="1"/>
      <w:marLeft w:val="0"/>
      <w:marRight w:val="0"/>
      <w:marTop w:val="0"/>
      <w:marBottom w:val="0"/>
      <w:divBdr>
        <w:top w:val="none" w:sz="0" w:space="0" w:color="auto"/>
        <w:left w:val="none" w:sz="0" w:space="0" w:color="auto"/>
        <w:bottom w:val="none" w:sz="0" w:space="0" w:color="auto"/>
        <w:right w:val="none" w:sz="0" w:space="0" w:color="auto"/>
      </w:divBdr>
    </w:div>
    <w:div w:id="835615349">
      <w:bodyDiv w:val="1"/>
      <w:marLeft w:val="0"/>
      <w:marRight w:val="0"/>
      <w:marTop w:val="0"/>
      <w:marBottom w:val="0"/>
      <w:divBdr>
        <w:top w:val="none" w:sz="0" w:space="0" w:color="auto"/>
        <w:left w:val="none" w:sz="0" w:space="0" w:color="auto"/>
        <w:bottom w:val="none" w:sz="0" w:space="0" w:color="auto"/>
        <w:right w:val="none" w:sz="0" w:space="0" w:color="auto"/>
      </w:divBdr>
    </w:div>
    <w:div w:id="846599798">
      <w:bodyDiv w:val="1"/>
      <w:marLeft w:val="0"/>
      <w:marRight w:val="0"/>
      <w:marTop w:val="0"/>
      <w:marBottom w:val="0"/>
      <w:divBdr>
        <w:top w:val="none" w:sz="0" w:space="0" w:color="auto"/>
        <w:left w:val="none" w:sz="0" w:space="0" w:color="auto"/>
        <w:bottom w:val="none" w:sz="0" w:space="0" w:color="auto"/>
        <w:right w:val="none" w:sz="0" w:space="0" w:color="auto"/>
      </w:divBdr>
    </w:div>
    <w:div w:id="883755283">
      <w:bodyDiv w:val="1"/>
      <w:marLeft w:val="0"/>
      <w:marRight w:val="0"/>
      <w:marTop w:val="0"/>
      <w:marBottom w:val="0"/>
      <w:divBdr>
        <w:top w:val="none" w:sz="0" w:space="0" w:color="auto"/>
        <w:left w:val="none" w:sz="0" w:space="0" w:color="auto"/>
        <w:bottom w:val="none" w:sz="0" w:space="0" w:color="auto"/>
        <w:right w:val="none" w:sz="0" w:space="0" w:color="auto"/>
      </w:divBdr>
    </w:div>
    <w:div w:id="891967580">
      <w:bodyDiv w:val="1"/>
      <w:marLeft w:val="0"/>
      <w:marRight w:val="0"/>
      <w:marTop w:val="0"/>
      <w:marBottom w:val="0"/>
      <w:divBdr>
        <w:top w:val="none" w:sz="0" w:space="0" w:color="auto"/>
        <w:left w:val="none" w:sz="0" w:space="0" w:color="auto"/>
        <w:bottom w:val="none" w:sz="0" w:space="0" w:color="auto"/>
        <w:right w:val="none" w:sz="0" w:space="0" w:color="auto"/>
      </w:divBdr>
    </w:div>
    <w:div w:id="903835603">
      <w:bodyDiv w:val="1"/>
      <w:marLeft w:val="0"/>
      <w:marRight w:val="0"/>
      <w:marTop w:val="0"/>
      <w:marBottom w:val="0"/>
      <w:divBdr>
        <w:top w:val="none" w:sz="0" w:space="0" w:color="auto"/>
        <w:left w:val="none" w:sz="0" w:space="0" w:color="auto"/>
        <w:bottom w:val="none" w:sz="0" w:space="0" w:color="auto"/>
        <w:right w:val="none" w:sz="0" w:space="0" w:color="auto"/>
      </w:divBdr>
    </w:div>
    <w:div w:id="921179414">
      <w:bodyDiv w:val="1"/>
      <w:marLeft w:val="0"/>
      <w:marRight w:val="0"/>
      <w:marTop w:val="0"/>
      <w:marBottom w:val="0"/>
      <w:divBdr>
        <w:top w:val="none" w:sz="0" w:space="0" w:color="auto"/>
        <w:left w:val="none" w:sz="0" w:space="0" w:color="auto"/>
        <w:bottom w:val="none" w:sz="0" w:space="0" w:color="auto"/>
        <w:right w:val="none" w:sz="0" w:space="0" w:color="auto"/>
      </w:divBdr>
      <w:divsChild>
        <w:div w:id="1934389044">
          <w:marLeft w:val="0"/>
          <w:marRight w:val="0"/>
          <w:marTop w:val="0"/>
          <w:marBottom w:val="0"/>
          <w:divBdr>
            <w:top w:val="none" w:sz="0" w:space="0" w:color="auto"/>
            <w:left w:val="none" w:sz="0" w:space="0" w:color="auto"/>
            <w:bottom w:val="none" w:sz="0" w:space="0" w:color="auto"/>
            <w:right w:val="none" w:sz="0" w:space="0" w:color="auto"/>
          </w:divBdr>
        </w:div>
      </w:divsChild>
    </w:div>
    <w:div w:id="937297098">
      <w:bodyDiv w:val="1"/>
      <w:marLeft w:val="0"/>
      <w:marRight w:val="0"/>
      <w:marTop w:val="0"/>
      <w:marBottom w:val="0"/>
      <w:divBdr>
        <w:top w:val="none" w:sz="0" w:space="0" w:color="auto"/>
        <w:left w:val="none" w:sz="0" w:space="0" w:color="auto"/>
        <w:bottom w:val="none" w:sz="0" w:space="0" w:color="auto"/>
        <w:right w:val="none" w:sz="0" w:space="0" w:color="auto"/>
      </w:divBdr>
    </w:div>
    <w:div w:id="955478360">
      <w:bodyDiv w:val="1"/>
      <w:marLeft w:val="0"/>
      <w:marRight w:val="0"/>
      <w:marTop w:val="0"/>
      <w:marBottom w:val="0"/>
      <w:divBdr>
        <w:top w:val="none" w:sz="0" w:space="0" w:color="auto"/>
        <w:left w:val="none" w:sz="0" w:space="0" w:color="auto"/>
        <w:bottom w:val="none" w:sz="0" w:space="0" w:color="auto"/>
        <w:right w:val="none" w:sz="0" w:space="0" w:color="auto"/>
      </w:divBdr>
    </w:div>
    <w:div w:id="977732583">
      <w:bodyDiv w:val="1"/>
      <w:marLeft w:val="0"/>
      <w:marRight w:val="0"/>
      <w:marTop w:val="0"/>
      <w:marBottom w:val="0"/>
      <w:divBdr>
        <w:top w:val="none" w:sz="0" w:space="0" w:color="auto"/>
        <w:left w:val="none" w:sz="0" w:space="0" w:color="auto"/>
        <w:bottom w:val="none" w:sz="0" w:space="0" w:color="auto"/>
        <w:right w:val="none" w:sz="0" w:space="0" w:color="auto"/>
      </w:divBdr>
    </w:div>
    <w:div w:id="1008169138">
      <w:bodyDiv w:val="1"/>
      <w:marLeft w:val="0"/>
      <w:marRight w:val="0"/>
      <w:marTop w:val="0"/>
      <w:marBottom w:val="0"/>
      <w:divBdr>
        <w:top w:val="none" w:sz="0" w:space="0" w:color="auto"/>
        <w:left w:val="none" w:sz="0" w:space="0" w:color="auto"/>
        <w:bottom w:val="none" w:sz="0" w:space="0" w:color="auto"/>
        <w:right w:val="none" w:sz="0" w:space="0" w:color="auto"/>
      </w:divBdr>
    </w:div>
    <w:div w:id="1038967793">
      <w:bodyDiv w:val="1"/>
      <w:marLeft w:val="0"/>
      <w:marRight w:val="0"/>
      <w:marTop w:val="0"/>
      <w:marBottom w:val="0"/>
      <w:divBdr>
        <w:top w:val="none" w:sz="0" w:space="0" w:color="auto"/>
        <w:left w:val="none" w:sz="0" w:space="0" w:color="auto"/>
        <w:bottom w:val="none" w:sz="0" w:space="0" w:color="auto"/>
        <w:right w:val="none" w:sz="0" w:space="0" w:color="auto"/>
      </w:divBdr>
      <w:divsChild>
        <w:div w:id="1773813636">
          <w:marLeft w:val="0"/>
          <w:marRight w:val="0"/>
          <w:marTop w:val="0"/>
          <w:marBottom w:val="0"/>
          <w:divBdr>
            <w:top w:val="none" w:sz="0" w:space="0" w:color="auto"/>
            <w:left w:val="none" w:sz="0" w:space="0" w:color="auto"/>
            <w:bottom w:val="none" w:sz="0" w:space="0" w:color="auto"/>
            <w:right w:val="none" w:sz="0" w:space="0" w:color="auto"/>
          </w:divBdr>
          <w:divsChild>
            <w:div w:id="1560285248">
              <w:marLeft w:val="0"/>
              <w:marRight w:val="0"/>
              <w:marTop w:val="0"/>
              <w:marBottom w:val="0"/>
              <w:divBdr>
                <w:top w:val="none" w:sz="0" w:space="0" w:color="auto"/>
                <w:left w:val="none" w:sz="0" w:space="0" w:color="auto"/>
                <w:bottom w:val="none" w:sz="0" w:space="0" w:color="auto"/>
                <w:right w:val="none" w:sz="0" w:space="0" w:color="auto"/>
              </w:divBdr>
              <w:divsChild>
                <w:div w:id="8111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2101">
      <w:bodyDiv w:val="1"/>
      <w:marLeft w:val="0"/>
      <w:marRight w:val="0"/>
      <w:marTop w:val="0"/>
      <w:marBottom w:val="0"/>
      <w:divBdr>
        <w:top w:val="none" w:sz="0" w:space="0" w:color="auto"/>
        <w:left w:val="none" w:sz="0" w:space="0" w:color="auto"/>
        <w:bottom w:val="none" w:sz="0" w:space="0" w:color="auto"/>
        <w:right w:val="none" w:sz="0" w:space="0" w:color="auto"/>
      </w:divBdr>
      <w:divsChild>
        <w:div w:id="1779525204">
          <w:marLeft w:val="547"/>
          <w:marRight w:val="0"/>
          <w:marTop w:val="134"/>
          <w:marBottom w:val="0"/>
          <w:divBdr>
            <w:top w:val="none" w:sz="0" w:space="0" w:color="auto"/>
            <w:left w:val="none" w:sz="0" w:space="0" w:color="auto"/>
            <w:bottom w:val="none" w:sz="0" w:space="0" w:color="auto"/>
            <w:right w:val="none" w:sz="0" w:space="0" w:color="auto"/>
          </w:divBdr>
        </w:div>
      </w:divsChild>
    </w:div>
    <w:div w:id="1084379518">
      <w:bodyDiv w:val="1"/>
      <w:marLeft w:val="0"/>
      <w:marRight w:val="0"/>
      <w:marTop w:val="0"/>
      <w:marBottom w:val="0"/>
      <w:divBdr>
        <w:top w:val="none" w:sz="0" w:space="0" w:color="auto"/>
        <w:left w:val="none" w:sz="0" w:space="0" w:color="auto"/>
        <w:bottom w:val="none" w:sz="0" w:space="0" w:color="auto"/>
        <w:right w:val="none" w:sz="0" w:space="0" w:color="auto"/>
      </w:divBdr>
    </w:div>
    <w:div w:id="1086346966">
      <w:bodyDiv w:val="1"/>
      <w:marLeft w:val="0"/>
      <w:marRight w:val="0"/>
      <w:marTop w:val="0"/>
      <w:marBottom w:val="0"/>
      <w:divBdr>
        <w:top w:val="none" w:sz="0" w:space="0" w:color="auto"/>
        <w:left w:val="none" w:sz="0" w:space="0" w:color="auto"/>
        <w:bottom w:val="none" w:sz="0" w:space="0" w:color="auto"/>
        <w:right w:val="none" w:sz="0" w:space="0" w:color="auto"/>
      </w:divBdr>
    </w:div>
    <w:div w:id="1104962133">
      <w:bodyDiv w:val="1"/>
      <w:marLeft w:val="0"/>
      <w:marRight w:val="0"/>
      <w:marTop w:val="0"/>
      <w:marBottom w:val="0"/>
      <w:divBdr>
        <w:top w:val="none" w:sz="0" w:space="0" w:color="auto"/>
        <w:left w:val="none" w:sz="0" w:space="0" w:color="auto"/>
        <w:bottom w:val="none" w:sz="0" w:space="0" w:color="auto"/>
        <w:right w:val="none" w:sz="0" w:space="0" w:color="auto"/>
      </w:divBdr>
    </w:div>
    <w:div w:id="1160466241">
      <w:bodyDiv w:val="1"/>
      <w:marLeft w:val="0"/>
      <w:marRight w:val="0"/>
      <w:marTop w:val="0"/>
      <w:marBottom w:val="0"/>
      <w:divBdr>
        <w:top w:val="none" w:sz="0" w:space="0" w:color="auto"/>
        <w:left w:val="none" w:sz="0" w:space="0" w:color="auto"/>
        <w:bottom w:val="none" w:sz="0" w:space="0" w:color="auto"/>
        <w:right w:val="none" w:sz="0" w:space="0" w:color="auto"/>
      </w:divBdr>
    </w:div>
    <w:div w:id="1193037232">
      <w:bodyDiv w:val="1"/>
      <w:marLeft w:val="0"/>
      <w:marRight w:val="0"/>
      <w:marTop w:val="0"/>
      <w:marBottom w:val="0"/>
      <w:divBdr>
        <w:top w:val="none" w:sz="0" w:space="0" w:color="auto"/>
        <w:left w:val="none" w:sz="0" w:space="0" w:color="auto"/>
        <w:bottom w:val="none" w:sz="0" w:space="0" w:color="auto"/>
        <w:right w:val="none" w:sz="0" w:space="0" w:color="auto"/>
      </w:divBdr>
    </w:div>
    <w:div w:id="1239711466">
      <w:bodyDiv w:val="1"/>
      <w:marLeft w:val="0"/>
      <w:marRight w:val="0"/>
      <w:marTop w:val="0"/>
      <w:marBottom w:val="0"/>
      <w:divBdr>
        <w:top w:val="none" w:sz="0" w:space="0" w:color="auto"/>
        <w:left w:val="none" w:sz="0" w:space="0" w:color="auto"/>
        <w:bottom w:val="none" w:sz="0" w:space="0" w:color="auto"/>
        <w:right w:val="none" w:sz="0" w:space="0" w:color="auto"/>
      </w:divBdr>
    </w:div>
    <w:div w:id="1245411393">
      <w:bodyDiv w:val="1"/>
      <w:marLeft w:val="0"/>
      <w:marRight w:val="0"/>
      <w:marTop w:val="0"/>
      <w:marBottom w:val="0"/>
      <w:divBdr>
        <w:top w:val="none" w:sz="0" w:space="0" w:color="auto"/>
        <w:left w:val="none" w:sz="0" w:space="0" w:color="auto"/>
        <w:bottom w:val="none" w:sz="0" w:space="0" w:color="auto"/>
        <w:right w:val="none" w:sz="0" w:space="0" w:color="auto"/>
      </w:divBdr>
    </w:div>
    <w:div w:id="1257052423">
      <w:bodyDiv w:val="1"/>
      <w:marLeft w:val="0"/>
      <w:marRight w:val="0"/>
      <w:marTop w:val="0"/>
      <w:marBottom w:val="0"/>
      <w:divBdr>
        <w:top w:val="none" w:sz="0" w:space="0" w:color="auto"/>
        <w:left w:val="none" w:sz="0" w:space="0" w:color="auto"/>
        <w:bottom w:val="none" w:sz="0" w:space="0" w:color="auto"/>
        <w:right w:val="none" w:sz="0" w:space="0" w:color="auto"/>
      </w:divBdr>
    </w:div>
    <w:div w:id="1328510751">
      <w:bodyDiv w:val="1"/>
      <w:marLeft w:val="0"/>
      <w:marRight w:val="0"/>
      <w:marTop w:val="0"/>
      <w:marBottom w:val="0"/>
      <w:divBdr>
        <w:top w:val="none" w:sz="0" w:space="0" w:color="auto"/>
        <w:left w:val="none" w:sz="0" w:space="0" w:color="auto"/>
        <w:bottom w:val="none" w:sz="0" w:space="0" w:color="auto"/>
        <w:right w:val="none" w:sz="0" w:space="0" w:color="auto"/>
      </w:divBdr>
    </w:div>
    <w:div w:id="1336109142">
      <w:bodyDiv w:val="1"/>
      <w:marLeft w:val="0"/>
      <w:marRight w:val="0"/>
      <w:marTop w:val="0"/>
      <w:marBottom w:val="0"/>
      <w:divBdr>
        <w:top w:val="none" w:sz="0" w:space="0" w:color="auto"/>
        <w:left w:val="none" w:sz="0" w:space="0" w:color="auto"/>
        <w:bottom w:val="none" w:sz="0" w:space="0" w:color="auto"/>
        <w:right w:val="none" w:sz="0" w:space="0" w:color="auto"/>
      </w:divBdr>
    </w:div>
    <w:div w:id="1345476289">
      <w:bodyDiv w:val="1"/>
      <w:marLeft w:val="0"/>
      <w:marRight w:val="0"/>
      <w:marTop w:val="0"/>
      <w:marBottom w:val="0"/>
      <w:divBdr>
        <w:top w:val="none" w:sz="0" w:space="0" w:color="auto"/>
        <w:left w:val="none" w:sz="0" w:space="0" w:color="auto"/>
        <w:bottom w:val="none" w:sz="0" w:space="0" w:color="auto"/>
        <w:right w:val="none" w:sz="0" w:space="0" w:color="auto"/>
      </w:divBdr>
    </w:div>
    <w:div w:id="1372731333">
      <w:bodyDiv w:val="1"/>
      <w:marLeft w:val="0"/>
      <w:marRight w:val="0"/>
      <w:marTop w:val="0"/>
      <w:marBottom w:val="0"/>
      <w:divBdr>
        <w:top w:val="none" w:sz="0" w:space="0" w:color="auto"/>
        <w:left w:val="none" w:sz="0" w:space="0" w:color="auto"/>
        <w:bottom w:val="none" w:sz="0" w:space="0" w:color="auto"/>
        <w:right w:val="none" w:sz="0" w:space="0" w:color="auto"/>
      </w:divBdr>
    </w:div>
    <w:div w:id="1377007624">
      <w:bodyDiv w:val="1"/>
      <w:marLeft w:val="0"/>
      <w:marRight w:val="0"/>
      <w:marTop w:val="0"/>
      <w:marBottom w:val="0"/>
      <w:divBdr>
        <w:top w:val="none" w:sz="0" w:space="0" w:color="auto"/>
        <w:left w:val="none" w:sz="0" w:space="0" w:color="auto"/>
        <w:bottom w:val="none" w:sz="0" w:space="0" w:color="auto"/>
        <w:right w:val="none" w:sz="0" w:space="0" w:color="auto"/>
      </w:divBdr>
      <w:divsChild>
        <w:div w:id="242570738">
          <w:marLeft w:val="1800"/>
          <w:marRight w:val="0"/>
          <w:marTop w:val="200"/>
          <w:marBottom w:val="0"/>
          <w:divBdr>
            <w:top w:val="none" w:sz="0" w:space="0" w:color="auto"/>
            <w:left w:val="none" w:sz="0" w:space="0" w:color="auto"/>
            <w:bottom w:val="none" w:sz="0" w:space="0" w:color="auto"/>
            <w:right w:val="none" w:sz="0" w:space="0" w:color="auto"/>
          </w:divBdr>
        </w:div>
        <w:div w:id="668752651">
          <w:marLeft w:val="360"/>
          <w:marRight w:val="0"/>
          <w:marTop w:val="200"/>
          <w:marBottom w:val="0"/>
          <w:divBdr>
            <w:top w:val="none" w:sz="0" w:space="0" w:color="auto"/>
            <w:left w:val="none" w:sz="0" w:space="0" w:color="auto"/>
            <w:bottom w:val="none" w:sz="0" w:space="0" w:color="auto"/>
            <w:right w:val="none" w:sz="0" w:space="0" w:color="auto"/>
          </w:divBdr>
        </w:div>
        <w:div w:id="838152899">
          <w:marLeft w:val="360"/>
          <w:marRight w:val="0"/>
          <w:marTop w:val="200"/>
          <w:marBottom w:val="0"/>
          <w:divBdr>
            <w:top w:val="none" w:sz="0" w:space="0" w:color="auto"/>
            <w:left w:val="none" w:sz="0" w:space="0" w:color="auto"/>
            <w:bottom w:val="none" w:sz="0" w:space="0" w:color="auto"/>
            <w:right w:val="none" w:sz="0" w:space="0" w:color="auto"/>
          </w:divBdr>
        </w:div>
        <w:div w:id="1073164840">
          <w:marLeft w:val="1800"/>
          <w:marRight w:val="0"/>
          <w:marTop w:val="200"/>
          <w:marBottom w:val="0"/>
          <w:divBdr>
            <w:top w:val="none" w:sz="0" w:space="0" w:color="auto"/>
            <w:left w:val="none" w:sz="0" w:space="0" w:color="auto"/>
            <w:bottom w:val="none" w:sz="0" w:space="0" w:color="auto"/>
            <w:right w:val="none" w:sz="0" w:space="0" w:color="auto"/>
          </w:divBdr>
        </w:div>
        <w:div w:id="2094890826">
          <w:marLeft w:val="1800"/>
          <w:marRight w:val="0"/>
          <w:marTop w:val="200"/>
          <w:marBottom w:val="0"/>
          <w:divBdr>
            <w:top w:val="none" w:sz="0" w:space="0" w:color="auto"/>
            <w:left w:val="none" w:sz="0" w:space="0" w:color="auto"/>
            <w:bottom w:val="none" w:sz="0" w:space="0" w:color="auto"/>
            <w:right w:val="none" w:sz="0" w:space="0" w:color="auto"/>
          </w:divBdr>
        </w:div>
      </w:divsChild>
    </w:div>
    <w:div w:id="1385176975">
      <w:bodyDiv w:val="1"/>
      <w:marLeft w:val="0"/>
      <w:marRight w:val="0"/>
      <w:marTop w:val="0"/>
      <w:marBottom w:val="0"/>
      <w:divBdr>
        <w:top w:val="none" w:sz="0" w:space="0" w:color="auto"/>
        <w:left w:val="none" w:sz="0" w:space="0" w:color="auto"/>
        <w:bottom w:val="none" w:sz="0" w:space="0" w:color="auto"/>
        <w:right w:val="none" w:sz="0" w:space="0" w:color="auto"/>
      </w:divBdr>
    </w:div>
    <w:div w:id="1402410896">
      <w:bodyDiv w:val="1"/>
      <w:marLeft w:val="0"/>
      <w:marRight w:val="0"/>
      <w:marTop w:val="0"/>
      <w:marBottom w:val="0"/>
      <w:divBdr>
        <w:top w:val="none" w:sz="0" w:space="0" w:color="auto"/>
        <w:left w:val="none" w:sz="0" w:space="0" w:color="auto"/>
        <w:bottom w:val="none" w:sz="0" w:space="0" w:color="auto"/>
        <w:right w:val="none" w:sz="0" w:space="0" w:color="auto"/>
      </w:divBdr>
    </w:div>
    <w:div w:id="1425225931">
      <w:bodyDiv w:val="1"/>
      <w:marLeft w:val="0"/>
      <w:marRight w:val="0"/>
      <w:marTop w:val="0"/>
      <w:marBottom w:val="0"/>
      <w:divBdr>
        <w:top w:val="none" w:sz="0" w:space="0" w:color="auto"/>
        <w:left w:val="none" w:sz="0" w:space="0" w:color="auto"/>
        <w:bottom w:val="none" w:sz="0" w:space="0" w:color="auto"/>
        <w:right w:val="none" w:sz="0" w:space="0" w:color="auto"/>
      </w:divBdr>
    </w:div>
    <w:div w:id="1444423770">
      <w:bodyDiv w:val="1"/>
      <w:marLeft w:val="0"/>
      <w:marRight w:val="0"/>
      <w:marTop w:val="0"/>
      <w:marBottom w:val="0"/>
      <w:divBdr>
        <w:top w:val="none" w:sz="0" w:space="0" w:color="auto"/>
        <w:left w:val="none" w:sz="0" w:space="0" w:color="auto"/>
        <w:bottom w:val="none" w:sz="0" w:space="0" w:color="auto"/>
        <w:right w:val="none" w:sz="0" w:space="0" w:color="auto"/>
      </w:divBdr>
    </w:div>
    <w:div w:id="1461459326">
      <w:bodyDiv w:val="1"/>
      <w:marLeft w:val="0"/>
      <w:marRight w:val="0"/>
      <w:marTop w:val="0"/>
      <w:marBottom w:val="0"/>
      <w:divBdr>
        <w:top w:val="none" w:sz="0" w:space="0" w:color="auto"/>
        <w:left w:val="none" w:sz="0" w:space="0" w:color="auto"/>
        <w:bottom w:val="none" w:sz="0" w:space="0" w:color="auto"/>
        <w:right w:val="none" w:sz="0" w:space="0" w:color="auto"/>
      </w:divBdr>
    </w:div>
    <w:div w:id="1532263924">
      <w:bodyDiv w:val="1"/>
      <w:marLeft w:val="0"/>
      <w:marRight w:val="0"/>
      <w:marTop w:val="0"/>
      <w:marBottom w:val="0"/>
      <w:divBdr>
        <w:top w:val="none" w:sz="0" w:space="0" w:color="auto"/>
        <w:left w:val="none" w:sz="0" w:space="0" w:color="auto"/>
        <w:bottom w:val="none" w:sz="0" w:space="0" w:color="auto"/>
        <w:right w:val="none" w:sz="0" w:space="0" w:color="auto"/>
      </w:divBdr>
    </w:div>
    <w:div w:id="1547330331">
      <w:bodyDiv w:val="1"/>
      <w:marLeft w:val="0"/>
      <w:marRight w:val="0"/>
      <w:marTop w:val="0"/>
      <w:marBottom w:val="0"/>
      <w:divBdr>
        <w:top w:val="none" w:sz="0" w:space="0" w:color="auto"/>
        <w:left w:val="none" w:sz="0" w:space="0" w:color="auto"/>
        <w:bottom w:val="none" w:sz="0" w:space="0" w:color="auto"/>
        <w:right w:val="none" w:sz="0" w:space="0" w:color="auto"/>
      </w:divBdr>
    </w:div>
    <w:div w:id="1636326778">
      <w:bodyDiv w:val="1"/>
      <w:marLeft w:val="0"/>
      <w:marRight w:val="0"/>
      <w:marTop w:val="0"/>
      <w:marBottom w:val="0"/>
      <w:divBdr>
        <w:top w:val="none" w:sz="0" w:space="0" w:color="auto"/>
        <w:left w:val="none" w:sz="0" w:space="0" w:color="auto"/>
        <w:bottom w:val="none" w:sz="0" w:space="0" w:color="auto"/>
        <w:right w:val="none" w:sz="0" w:space="0" w:color="auto"/>
      </w:divBdr>
    </w:div>
    <w:div w:id="1644773598">
      <w:bodyDiv w:val="1"/>
      <w:marLeft w:val="0"/>
      <w:marRight w:val="0"/>
      <w:marTop w:val="0"/>
      <w:marBottom w:val="0"/>
      <w:divBdr>
        <w:top w:val="none" w:sz="0" w:space="0" w:color="auto"/>
        <w:left w:val="none" w:sz="0" w:space="0" w:color="auto"/>
        <w:bottom w:val="none" w:sz="0" w:space="0" w:color="auto"/>
        <w:right w:val="none" w:sz="0" w:space="0" w:color="auto"/>
      </w:divBdr>
    </w:div>
    <w:div w:id="1677149344">
      <w:bodyDiv w:val="1"/>
      <w:marLeft w:val="0"/>
      <w:marRight w:val="0"/>
      <w:marTop w:val="0"/>
      <w:marBottom w:val="0"/>
      <w:divBdr>
        <w:top w:val="none" w:sz="0" w:space="0" w:color="auto"/>
        <w:left w:val="none" w:sz="0" w:space="0" w:color="auto"/>
        <w:bottom w:val="none" w:sz="0" w:space="0" w:color="auto"/>
        <w:right w:val="none" w:sz="0" w:space="0" w:color="auto"/>
      </w:divBdr>
    </w:div>
    <w:div w:id="1702824425">
      <w:bodyDiv w:val="1"/>
      <w:marLeft w:val="0"/>
      <w:marRight w:val="0"/>
      <w:marTop w:val="0"/>
      <w:marBottom w:val="0"/>
      <w:divBdr>
        <w:top w:val="none" w:sz="0" w:space="0" w:color="auto"/>
        <w:left w:val="none" w:sz="0" w:space="0" w:color="auto"/>
        <w:bottom w:val="none" w:sz="0" w:space="0" w:color="auto"/>
        <w:right w:val="none" w:sz="0" w:space="0" w:color="auto"/>
      </w:divBdr>
      <w:divsChild>
        <w:div w:id="1396585188">
          <w:marLeft w:val="0"/>
          <w:marRight w:val="0"/>
          <w:marTop w:val="0"/>
          <w:marBottom w:val="0"/>
          <w:divBdr>
            <w:top w:val="none" w:sz="0" w:space="0" w:color="auto"/>
            <w:left w:val="none" w:sz="0" w:space="0" w:color="auto"/>
            <w:bottom w:val="none" w:sz="0" w:space="0" w:color="auto"/>
            <w:right w:val="none" w:sz="0" w:space="0" w:color="auto"/>
          </w:divBdr>
        </w:div>
        <w:div w:id="1850558201">
          <w:marLeft w:val="0"/>
          <w:marRight w:val="0"/>
          <w:marTop w:val="0"/>
          <w:marBottom w:val="0"/>
          <w:divBdr>
            <w:top w:val="none" w:sz="0" w:space="0" w:color="auto"/>
            <w:left w:val="none" w:sz="0" w:space="0" w:color="auto"/>
            <w:bottom w:val="none" w:sz="0" w:space="0" w:color="auto"/>
            <w:right w:val="none" w:sz="0" w:space="0" w:color="auto"/>
          </w:divBdr>
        </w:div>
      </w:divsChild>
    </w:div>
    <w:div w:id="1733886764">
      <w:bodyDiv w:val="1"/>
      <w:marLeft w:val="0"/>
      <w:marRight w:val="0"/>
      <w:marTop w:val="0"/>
      <w:marBottom w:val="0"/>
      <w:divBdr>
        <w:top w:val="none" w:sz="0" w:space="0" w:color="auto"/>
        <w:left w:val="none" w:sz="0" w:space="0" w:color="auto"/>
        <w:bottom w:val="none" w:sz="0" w:space="0" w:color="auto"/>
        <w:right w:val="none" w:sz="0" w:space="0" w:color="auto"/>
      </w:divBdr>
    </w:div>
    <w:div w:id="1734237426">
      <w:bodyDiv w:val="1"/>
      <w:marLeft w:val="0"/>
      <w:marRight w:val="0"/>
      <w:marTop w:val="0"/>
      <w:marBottom w:val="0"/>
      <w:divBdr>
        <w:top w:val="none" w:sz="0" w:space="0" w:color="auto"/>
        <w:left w:val="none" w:sz="0" w:space="0" w:color="auto"/>
        <w:bottom w:val="none" w:sz="0" w:space="0" w:color="auto"/>
        <w:right w:val="none" w:sz="0" w:space="0" w:color="auto"/>
      </w:divBdr>
    </w:div>
    <w:div w:id="1748185596">
      <w:bodyDiv w:val="1"/>
      <w:marLeft w:val="0"/>
      <w:marRight w:val="0"/>
      <w:marTop w:val="0"/>
      <w:marBottom w:val="0"/>
      <w:divBdr>
        <w:top w:val="none" w:sz="0" w:space="0" w:color="auto"/>
        <w:left w:val="none" w:sz="0" w:space="0" w:color="auto"/>
        <w:bottom w:val="none" w:sz="0" w:space="0" w:color="auto"/>
        <w:right w:val="none" w:sz="0" w:space="0" w:color="auto"/>
      </w:divBdr>
    </w:div>
    <w:div w:id="1769235751">
      <w:bodyDiv w:val="1"/>
      <w:marLeft w:val="0"/>
      <w:marRight w:val="0"/>
      <w:marTop w:val="0"/>
      <w:marBottom w:val="0"/>
      <w:divBdr>
        <w:top w:val="none" w:sz="0" w:space="0" w:color="auto"/>
        <w:left w:val="none" w:sz="0" w:space="0" w:color="auto"/>
        <w:bottom w:val="none" w:sz="0" w:space="0" w:color="auto"/>
        <w:right w:val="none" w:sz="0" w:space="0" w:color="auto"/>
      </w:divBdr>
      <w:divsChild>
        <w:div w:id="743407094">
          <w:marLeft w:val="0"/>
          <w:marRight w:val="0"/>
          <w:marTop w:val="0"/>
          <w:marBottom w:val="0"/>
          <w:divBdr>
            <w:top w:val="none" w:sz="0" w:space="0" w:color="auto"/>
            <w:left w:val="none" w:sz="0" w:space="0" w:color="auto"/>
            <w:bottom w:val="none" w:sz="0" w:space="0" w:color="auto"/>
            <w:right w:val="none" w:sz="0" w:space="0" w:color="auto"/>
          </w:divBdr>
          <w:divsChild>
            <w:div w:id="1693723041">
              <w:marLeft w:val="0"/>
              <w:marRight w:val="0"/>
              <w:marTop w:val="0"/>
              <w:marBottom w:val="0"/>
              <w:divBdr>
                <w:top w:val="none" w:sz="0" w:space="0" w:color="auto"/>
                <w:left w:val="none" w:sz="0" w:space="0" w:color="auto"/>
                <w:bottom w:val="none" w:sz="0" w:space="0" w:color="auto"/>
                <w:right w:val="none" w:sz="0" w:space="0" w:color="auto"/>
              </w:divBdr>
              <w:divsChild>
                <w:div w:id="1673676274">
                  <w:marLeft w:val="0"/>
                  <w:marRight w:val="0"/>
                  <w:marTop w:val="0"/>
                  <w:marBottom w:val="0"/>
                  <w:divBdr>
                    <w:top w:val="none" w:sz="0" w:space="0" w:color="auto"/>
                    <w:left w:val="none" w:sz="0" w:space="0" w:color="auto"/>
                    <w:bottom w:val="none" w:sz="0" w:space="0" w:color="auto"/>
                    <w:right w:val="none" w:sz="0" w:space="0" w:color="auto"/>
                  </w:divBdr>
                  <w:divsChild>
                    <w:div w:id="1929270484">
                      <w:marLeft w:val="0"/>
                      <w:marRight w:val="0"/>
                      <w:marTop w:val="0"/>
                      <w:marBottom w:val="0"/>
                      <w:divBdr>
                        <w:top w:val="none" w:sz="0" w:space="0" w:color="auto"/>
                        <w:left w:val="none" w:sz="0" w:space="0" w:color="auto"/>
                        <w:bottom w:val="none" w:sz="0" w:space="0" w:color="auto"/>
                        <w:right w:val="none" w:sz="0" w:space="0" w:color="auto"/>
                      </w:divBdr>
                      <w:divsChild>
                        <w:div w:id="941955837">
                          <w:marLeft w:val="0"/>
                          <w:marRight w:val="0"/>
                          <w:marTop w:val="0"/>
                          <w:marBottom w:val="0"/>
                          <w:divBdr>
                            <w:top w:val="none" w:sz="0" w:space="0" w:color="auto"/>
                            <w:left w:val="none" w:sz="0" w:space="0" w:color="auto"/>
                            <w:bottom w:val="none" w:sz="0" w:space="0" w:color="auto"/>
                            <w:right w:val="none" w:sz="0" w:space="0" w:color="auto"/>
                          </w:divBdr>
                          <w:divsChild>
                            <w:div w:id="884567219">
                              <w:marLeft w:val="0"/>
                              <w:marRight w:val="0"/>
                              <w:marTop w:val="0"/>
                              <w:marBottom w:val="0"/>
                              <w:divBdr>
                                <w:top w:val="none" w:sz="0" w:space="0" w:color="auto"/>
                                <w:left w:val="none" w:sz="0" w:space="0" w:color="auto"/>
                                <w:bottom w:val="none" w:sz="0" w:space="0" w:color="auto"/>
                                <w:right w:val="none" w:sz="0" w:space="0" w:color="auto"/>
                              </w:divBdr>
                              <w:divsChild>
                                <w:div w:id="801577520">
                                  <w:marLeft w:val="0"/>
                                  <w:marRight w:val="0"/>
                                  <w:marTop w:val="0"/>
                                  <w:marBottom w:val="0"/>
                                  <w:divBdr>
                                    <w:top w:val="none" w:sz="0" w:space="0" w:color="auto"/>
                                    <w:left w:val="none" w:sz="0" w:space="0" w:color="auto"/>
                                    <w:bottom w:val="none" w:sz="0" w:space="0" w:color="auto"/>
                                    <w:right w:val="none" w:sz="0" w:space="0" w:color="auto"/>
                                  </w:divBdr>
                                  <w:divsChild>
                                    <w:div w:id="1028945716">
                                      <w:marLeft w:val="0"/>
                                      <w:marRight w:val="0"/>
                                      <w:marTop w:val="0"/>
                                      <w:marBottom w:val="0"/>
                                      <w:divBdr>
                                        <w:top w:val="none" w:sz="0" w:space="0" w:color="auto"/>
                                        <w:left w:val="none" w:sz="0" w:space="0" w:color="auto"/>
                                        <w:bottom w:val="none" w:sz="0" w:space="0" w:color="auto"/>
                                        <w:right w:val="none" w:sz="0" w:space="0" w:color="auto"/>
                                      </w:divBdr>
                                      <w:divsChild>
                                        <w:div w:id="759527601">
                                          <w:marLeft w:val="0"/>
                                          <w:marRight w:val="0"/>
                                          <w:marTop w:val="0"/>
                                          <w:marBottom w:val="0"/>
                                          <w:divBdr>
                                            <w:top w:val="none" w:sz="0" w:space="0" w:color="auto"/>
                                            <w:left w:val="none" w:sz="0" w:space="0" w:color="auto"/>
                                            <w:bottom w:val="none" w:sz="0" w:space="0" w:color="auto"/>
                                            <w:right w:val="none" w:sz="0" w:space="0" w:color="auto"/>
                                          </w:divBdr>
                                          <w:divsChild>
                                            <w:div w:id="711803269">
                                              <w:marLeft w:val="0"/>
                                              <w:marRight w:val="0"/>
                                              <w:marTop w:val="0"/>
                                              <w:marBottom w:val="0"/>
                                              <w:divBdr>
                                                <w:top w:val="none" w:sz="0" w:space="0" w:color="auto"/>
                                                <w:left w:val="none" w:sz="0" w:space="0" w:color="auto"/>
                                                <w:bottom w:val="none" w:sz="0" w:space="0" w:color="auto"/>
                                                <w:right w:val="none" w:sz="0" w:space="0" w:color="auto"/>
                                              </w:divBdr>
                                              <w:divsChild>
                                                <w:div w:id="1323697754">
                                                  <w:marLeft w:val="0"/>
                                                  <w:marRight w:val="0"/>
                                                  <w:marTop w:val="0"/>
                                                  <w:marBottom w:val="0"/>
                                                  <w:divBdr>
                                                    <w:top w:val="none" w:sz="0" w:space="0" w:color="auto"/>
                                                    <w:left w:val="none" w:sz="0" w:space="0" w:color="auto"/>
                                                    <w:bottom w:val="none" w:sz="0" w:space="0" w:color="auto"/>
                                                    <w:right w:val="none" w:sz="0" w:space="0" w:color="auto"/>
                                                  </w:divBdr>
                                                  <w:divsChild>
                                                    <w:div w:id="88738762">
                                                      <w:marLeft w:val="0"/>
                                                      <w:marRight w:val="0"/>
                                                      <w:marTop w:val="0"/>
                                                      <w:marBottom w:val="0"/>
                                                      <w:divBdr>
                                                        <w:top w:val="none" w:sz="0" w:space="0" w:color="auto"/>
                                                        <w:left w:val="none" w:sz="0" w:space="0" w:color="auto"/>
                                                        <w:bottom w:val="none" w:sz="0" w:space="0" w:color="auto"/>
                                                        <w:right w:val="none" w:sz="0" w:space="0" w:color="auto"/>
                                                      </w:divBdr>
                                                      <w:divsChild>
                                                        <w:div w:id="48264340">
                                                          <w:marLeft w:val="0"/>
                                                          <w:marRight w:val="0"/>
                                                          <w:marTop w:val="100"/>
                                                          <w:marBottom w:val="100"/>
                                                          <w:divBdr>
                                                            <w:top w:val="none" w:sz="0" w:space="0" w:color="auto"/>
                                                            <w:left w:val="none" w:sz="0" w:space="0" w:color="auto"/>
                                                            <w:bottom w:val="none" w:sz="0" w:space="0" w:color="auto"/>
                                                            <w:right w:val="none" w:sz="0" w:space="0" w:color="auto"/>
                                                          </w:divBdr>
                                                          <w:divsChild>
                                                            <w:div w:id="1546791839">
                                                              <w:marLeft w:val="0"/>
                                                              <w:marRight w:val="0"/>
                                                              <w:marTop w:val="0"/>
                                                              <w:marBottom w:val="0"/>
                                                              <w:divBdr>
                                                                <w:top w:val="none" w:sz="0" w:space="0" w:color="auto"/>
                                                                <w:left w:val="none" w:sz="0" w:space="0" w:color="auto"/>
                                                                <w:bottom w:val="none" w:sz="0" w:space="0" w:color="auto"/>
                                                                <w:right w:val="none" w:sz="0" w:space="0" w:color="auto"/>
                                                              </w:divBdr>
                                                              <w:divsChild>
                                                                <w:div w:id="480579964">
                                                                  <w:marLeft w:val="0"/>
                                                                  <w:marRight w:val="0"/>
                                                                  <w:marTop w:val="0"/>
                                                                  <w:marBottom w:val="0"/>
                                                                  <w:divBdr>
                                                                    <w:top w:val="none" w:sz="0" w:space="0" w:color="auto"/>
                                                                    <w:left w:val="none" w:sz="0" w:space="0" w:color="auto"/>
                                                                    <w:bottom w:val="none" w:sz="0" w:space="0" w:color="auto"/>
                                                                    <w:right w:val="none" w:sz="0" w:space="0" w:color="auto"/>
                                                                  </w:divBdr>
                                                                  <w:divsChild>
                                                                    <w:div w:id="636297863">
                                                                      <w:marLeft w:val="0"/>
                                                                      <w:marRight w:val="0"/>
                                                                      <w:marTop w:val="0"/>
                                                                      <w:marBottom w:val="0"/>
                                                                      <w:divBdr>
                                                                        <w:top w:val="none" w:sz="0" w:space="0" w:color="auto"/>
                                                                        <w:left w:val="none" w:sz="0" w:space="0" w:color="auto"/>
                                                                        <w:bottom w:val="none" w:sz="0" w:space="0" w:color="auto"/>
                                                                        <w:right w:val="none" w:sz="0" w:space="0" w:color="auto"/>
                                                                      </w:divBdr>
                                                                      <w:divsChild>
                                                                        <w:div w:id="21353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362582">
      <w:bodyDiv w:val="1"/>
      <w:marLeft w:val="0"/>
      <w:marRight w:val="0"/>
      <w:marTop w:val="0"/>
      <w:marBottom w:val="0"/>
      <w:divBdr>
        <w:top w:val="none" w:sz="0" w:space="0" w:color="auto"/>
        <w:left w:val="none" w:sz="0" w:space="0" w:color="auto"/>
        <w:bottom w:val="none" w:sz="0" w:space="0" w:color="auto"/>
        <w:right w:val="none" w:sz="0" w:space="0" w:color="auto"/>
      </w:divBdr>
    </w:div>
    <w:div w:id="1810782896">
      <w:bodyDiv w:val="1"/>
      <w:marLeft w:val="0"/>
      <w:marRight w:val="0"/>
      <w:marTop w:val="0"/>
      <w:marBottom w:val="0"/>
      <w:divBdr>
        <w:top w:val="none" w:sz="0" w:space="0" w:color="auto"/>
        <w:left w:val="none" w:sz="0" w:space="0" w:color="auto"/>
        <w:bottom w:val="none" w:sz="0" w:space="0" w:color="auto"/>
        <w:right w:val="none" w:sz="0" w:space="0" w:color="auto"/>
      </w:divBdr>
    </w:div>
    <w:div w:id="1817451603">
      <w:bodyDiv w:val="1"/>
      <w:marLeft w:val="0"/>
      <w:marRight w:val="0"/>
      <w:marTop w:val="0"/>
      <w:marBottom w:val="0"/>
      <w:divBdr>
        <w:top w:val="none" w:sz="0" w:space="0" w:color="auto"/>
        <w:left w:val="none" w:sz="0" w:space="0" w:color="auto"/>
        <w:bottom w:val="none" w:sz="0" w:space="0" w:color="auto"/>
        <w:right w:val="none" w:sz="0" w:space="0" w:color="auto"/>
      </w:divBdr>
    </w:div>
    <w:div w:id="1850215831">
      <w:bodyDiv w:val="1"/>
      <w:marLeft w:val="0"/>
      <w:marRight w:val="0"/>
      <w:marTop w:val="0"/>
      <w:marBottom w:val="0"/>
      <w:divBdr>
        <w:top w:val="none" w:sz="0" w:space="0" w:color="auto"/>
        <w:left w:val="none" w:sz="0" w:space="0" w:color="auto"/>
        <w:bottom w:val="none" w:sz="0" w:space="0" w:color="auto"/>
        <w:right w:val="none" w:sz="0" w:space="0" w:color="auto"/>
      </w:divBdr>
    </w:div>
    <w:div w:id="1970552137">
      <w:bodyDiv w:val="1"/>
      <w:marLeft w:val="0"/>
      <w:marRight w:val="0"/>
      <w:marTop w:val="0"/>
      <w:marBottom w:val="0"/>
      <w:divBdr>
        <w:top w:val="none" w:sz="0" w:space="0" w:color="auto"/>
        <w:left w:val="none" w:sz="0" w:space="0" w:color="auto"/>
        <w:bottom w:val="none" w:sz="0" w:space="0" w:color="auto"/>
        <w:right w:val="none" w:sz="0" w:space="0" w:color="auto"/>
      </w:divBdr>
    </w:div>
    <w:div w:id="1995602397">
      <w:bodyDiv w:val="1"/>
      <w:marLeft w:val="0"/>
      <w:marRight w:val="0"/>
      <w:marTop w:val="0"/>
      <w:marBottom w:val="0"/>
      <w:divBdr>
        <w:top w:val="none" w:sz="0" w:space="0" w:color="auto"/>
        <w:left w:val="none" w:sz="0" w:space="0" w:color="auto"/>
        <w:bottom w:val="none" w:sz="0" w:space="0" w:color="auto"/>
        <w:right w:val="none" w:sz="0" w:space="0" w:color="auto"/>
      </w:divBdr>
    </w:div>
    <w:div w:id="2056849177">
      <w:bodyDiv w:val="1"/>
      <w:marLeft w:val="0"/>
      <w:marRight w:val="0"/>
      <w:marTop w:val="0"/>
      <w:marBottom w:val="0"/>
      <w:divBdr>
        <w:top w:val="none" w:sz="0" w:space="0" w:color="auto"/>
        <w:left w:val="none" w:sz="0" w:space="0" w:color="auto"/>
        <w:bottom w:val="none" w:sz="0" w:space="0" w:color="auto"/>
        <w:right w:val="none" w:sz="0" w:space="0" w:color="auto"/>
      </w:divBdr>
    </w:div>
    <w:div w:id="2075736833">
      <w:bodyDiv w:val="1"/>
      <w:marLeft w:val="0"/>
      <w:marRight w:val="0"/>
      <w:marTop w:val="0"/>
      <w:marBottom w:val="0"/>
      <w:divBdr>
        <w:top w:val="none" w:sz="0" w:space="0" w:color="auto"/>
        <w:left w:val="none" w:sz="0" w:space="0" w:color="auto"/>
        <w:bottom w:val="none" w:sz="0" w:space="0" w:color="auto"/>
        <w:right w:val="none" w:sz="0" w:space="0" w:color="auto"/>
      </w:divBdr>
    </w:div>
    <w:div w:id="2083672882">
      <w:bodyDiv w:val="1"/>
      <w:marLeft w:val="0"/>
      <w:marRight w:val="0"/>
      <w:marTop w:val="0"/>
      <w:marBottom w:val="0"/>
      <w:divBdr>
        <w:top w:val="none" w:sz="0" w:space="0" w:color="auto"/>
        <w:left w:val="none" w:sz="0" w:space="0" w:color="auto"/>
        <w:bottom w:val="none" w:sz="0" w:space="0" w:color="auto"/>
        <w:right w:val="none" w:sz="0" w:space="0" w:color="auto"/>
      </w:divBdr>
    </w:div>
    <w:div w:id="2094818864">
      <w:bodyDiv w:val="1"/>
      <w:marLeft w:val="0"/>
      <w:marRight w:val="0"/>
      <w:marTop w:val="0"/>
      <w:marBottom w:val="0"/>
      <w:divBdr>
        <w:top w:val="none" w:sz="0" w:space="0" w:color="auto"/>
        <w:left w:val="none" w:sz="0" w:space="0" w:color="auto"/>
        <w:bottom w:val="none" w:sz="0" w:space="0" w:color="auto"/>
        <w:right w:val="none" w:sz="0" w:space="0" w:color="auto"/>
      </w:divBdr>
    </w:div>
    <w:div w:id="2097315694">
      <w:bodyDiv w:val="1"/>
      <w:marLeft w:val="0"/>
      <w:marRight w:val="0"/>
      <w:marTop w:val="0"/>
      <w:marBottom w:val="0"/>
      <w:divBdr>
        <w:top w:val="none" w:sz="0" w:space="0" w:color="auto"/>
        <w:left w:val="none" w:sz="0" w:space="0" w:color="auto"/>
        <w:bottom w:val="none" w:sz="0" w:space="0" w:color="auto"/>
        <w:right w:val="none" w:sz="0" w:space="0" w:color="auto"/>
      </w:divBdr>
    </w:div>
    <w:div w:id="2103379839">
      <w:bodyDiv w:val="1"/>
      <w:marLeft w:val="0"/>
      <w:marRight w:val="0"/>
      <w:marTop w:val="0"/>
      <w:marBottom w:val="0"/>
      <w:divBdr>
        <w:top w:val="none" w:sz="0" w:space="0" w:color="auto"/>
        <w:left w:val="none" w:sz="0" w:space="0" w:color="auto"/>
        <w:bottom w:val="none" w:sz="0" w:space="0" w:color="auto"/>
        <w:right w:val="none" w:sz="0" w:space="0" w:color="auto"/>
      </w:divBdr>
      <w:divsChild>
        <w:div w:id="1323925436">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ae.org.uk/media/129536/JfKL-school-exclusion-and-CCE.pdf" TargetMode="External"/><Relationship Id="rId21" Type="http://schemas.openxmlformats.org/officeDocument/2006/relationships/hyperlink" Target="http://doi.org/10.1080/14768320600941772" TargetMode="External"/><Relationship Id="rId42" Type="http://schemas.openxmlformats.org/officeDocument/2006/relationships/hyperlink" Target="https://derivation.esd.org.uk?area=E06000043&amp;period=sch_2017_18&amp;metricType=4674" TargetMode="External"/><Relationship Id="rId47" Type="http://schemas.openxmlformats.org/officeDocument/2006/relationships/hyperlink" Target="https://derivation.esd.org.uk?area=E06000043&amp;period=sch_2014_15&amp;metricType=885" TargetMode="External"/><Relationship Id="rId63" Type="http://schemas.openxmlformats.org/officeDocument/2006/relationships/hyperlink" Target="https://derivation.esd.org.uk?area=E06000043&amp;period=fin_2014_15&amp;metricType=6012" TargetMode="External"/><Relationship Id="rId68" Type="http://schemas.openxmlformats.org/officeDocument/2006/relationships/hyperlink" Target="https://lginform.local.gov.uk/reports/lgastandard?mod-metric=1030" TargetMode="External"/><Relationship Id="rId84" Type="http://schemas.openxmlformats.org/officeDocument/2006/relationships/hyperlink" Target="https://derivation.esd.org.uk?area=E06000043&amp;period=fin_2014_15&amp;metricType=429" TargetMode="External"/><Relationship Id="rId89" Type="http://schemas.openxmlformats.org/officeDocument/2006/relationships/hyperlink" Target="https://lginform.local.gov.uk/reports/lgastandard?mod-metric=9008" TargetMode="External"/><Relationship Id="rId7" Type="http://schemas.openxmlformats.org/officeDocument/2006/relationships/settings" Target="settings.xml"/><Relationship Id="rId71" Type="http://schemas.openxmlformats.org/officeDocument/2006/relationships/hyperlink" Target="https://derivation.esd.org.uk?area=E06000043&amp;period=fin_2015_16&amp;metricType=1030" TargetMode="External"/><Relationship Id="rId92" Type="http://schemas.openxmlformats.org/officeDocument/2006/relationships/hyperlink" Target="https://derivation.esd.org.uk?area=E06000043&amp;period=fin_2015_16&amp;metricType=9008" TargetMode="External"/><Relationship Id="rId2" Type="http://schemas.openxmlformats.org/officeDocument/2006/relationships/customXml" Target="../customXml/item2.xml"/><Relationship Id="rId16" Type="http://schemas.openxmlformats.org/officeDocument/2006/relationships/hyperlink" Target="https://www.crawleycommunityaction.org/wp-content/uploads/2020/01/CCVSAnnualReview2018.pdf" TargetMode="External"/><Relationship Id="rId29" Type="http://schemas.openxmlformats.org/officeDocument/2006/relationships/hyperlink" Target="https://lginform.local.gov.uk/reports/lgastandard?mod-metric=292" TargetMode="External"/><Relationship Id="rId11" Type="http://schemas.openxmlformats.org/officeDocument/2006/relationships/image" Target="media/image1.tiff"/><Relationship Id="rId24" Type="http://schemas.openxmlformats.org/officeDocument/2006/relationships/hyperlink" Target="https://doi.org/10.1111/cfs.12648" TargetMode="External"/><Relationship Id="rId32" Type="http://schemas.openxmlformats.org/officeDocument/2006/relationships/hyperlink" Target="https://derivation.esd.org.uk?area=E06000043&amp;period=fq_Q1_2017_18&amp;metricType=292" TargetMode="External"/><Relationship Id="rId37" Type="http://schemas.openxmlformats.org/officeDocument/2006/relationships/hyperlink" Target="https://lginform.local.gov.uk/reports/lgastandard?mod-metric=4674" TargetMode="External"/><Relationship Id="rId40" Type="http://schemas.openxmlformats.org/officeDocument/2006/relationships/hyperlink" Target="https://derivation.esd.org.uk?area=E06000043&amp;period=sch_2015_16&amp;metricType=4674" TargetMode="External"/><Relationship Id="rId45" Type="http://schemas.openxmlformats.org/officeDocument/2006/relationships/hyperlink" Target="https://lginform.local.gov.uk/reports/lgastandard?mod-metric=885" TargetMode="External"/><Relationship Id="rId53" Type="http://schemas.openxmlformats.org/officeDocument/2006/relationships/image" Target="media/image9.png"/><Relationship Id="rId58" Type="http://schemas.openxmlformats.org/officeDocument/2006/relationships/hyperlink" Target="https://derivation.esd.org.uk?area=E06000043&amp;period=fin_2016_17&amp;metricType=6012" TargetMode="External"/><Relationship Id="rId66" Type="http://schemas.openxmlformats.org/officeDocument/2006/relationships/hyperlink" Target="https://derivation.esd.org.uk?area=E06000043&amp;period=fin_2017_18&amp;metricType=6012" TargetMode="External"/><Relationship Id="rId74" Type="http://schemas.openxmlformats.org/officeDocument/2006/relationships/hyperlink" Target="https://derivation.esd.org.uk?area=E06000043&amp;period=fin_2018_19&amp;metricType=1030" TargetMode="External"/><Relationship Id="rId79" Type="http://schemas.openxmlformats.org/officeDocument/2006/relationships/hyperlink" Target="https://derivation.esd.org.uk?area=E06000043&amp;period=fin_2016_17&amp;metricType=3525" TargetMode="External"/><Relationship Id="rId87" Type="http://schemas.openxmlformats.org/officeDocument/2006/relationships/hyperlink" Target="https://derivation.esd.org.uk?area=E06000043&amp;period=fin_2017_18&amp;metricType=429"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ginform.local.gov.uk/reports/lgastandard?mod-metric=6012" TargetMode="External"/><Relationship Id="rId82" Type="http://schemas.openxmlformats.org/officeDocument/2006/relationships/hyperlink" Target="https://lginform.local.gov.uk/reports/lgastandard?mod-metric=429" TargetMode="External"/><Relationship Id="rId90" Type="http://schemas.openxmlformats.org/officeDocument/2006/relationships/hyperlink" Target="https://derivation.esd.org.uk?area=E06000043&amp;period=fin_2013_14&amp;metricType=9008" TargetMode="External"/><Relationship Id="rId95" Type="http://schemas.openxmlformats.org/officeDocument/2006/relationships/hyperlink" Target="https://derivation.esd.org.uk?area=E06000043&amp;period=fin_2018_19&amp;metricType=9008" TargetMode="External"/><Relationship Id="rId19" Type="http://schemas.openxmlformats.org/officeDocument/2006/relationships/hyperlink" Target="https://whatworks-csc.org.uk/" TargetMode="External"/><Relationship Id="rId14" Type="http://schemas.openxmlformats.org/officeDocument/2006/relationships/image" Target="media/image3.tiff"/><Relationship Id="rId22" Type="http://schemas.openxmlformats.org/officeDocument/2006/relationships/hyperlink" Target="https://doi.org/10.1080/13575279.2019.1575186" TargetMode="External"/><Relationship Id="rId27" Type="http://schemas.openxmlformats.org/officeDocument/2006/relationships/image" Target="media/image5.png"/><Relationship Id="rId30" Type="http://schemas.openxmlformats.org/officeDocument/2006/relationships/hyperlink" Target="https://derivation.esd.org.uk?area=E06000043&amp;period=fq_Q3_2016_17&amp;metricType=292" TargetMode="External"/><Relationship Id="rId35" Type="http://schemas.openxmlformats.org/officeDocument/2006/relationships/hyperlink" Target="https://derivation.esd.org.uk?area=E06000043&amp;period=fq_Q4_2017_18&amp;metricType=292" TargetMode="External"/><Relationship Id="rId43" Type="http://schemas.openxmlformats.org/officeDocument/2006/relationships/hyperlink" Target="https://derivation.esd.org.uk?area=E06000043&amp;period=sch_2018_19&amp;metricType=4674" TargetMode="External"/><Relationship Id="rId48" Type="http://schemas.openxmlformats.org/officeDocument/2006/relationships/hyperlink" Target="https://derivation.esd.org.uk?area=E06000043&amp;period=sch_2015_16&amp;metricType=885" TargetMode="External"/><Relationship Id="rId56" Type="http://schemas.openxmlformats.org/officeDocument/2006/relationships/hyperlink" Target="https://derivation.esd.org.uk?area=E06000043&amp;period=fin_2014_15&amp;metricType=6012" TargetMode="External"/><Relationship Id="rId64" Type="http://schemas.openxmlformats.org/officeDocument/2006/relationships/hyperlink" Target="https://derivation.esd.org.uk?area=E06000043&amp;period=fin_2015_16&amp;metricType=6012" TargetMode="External"/><Relationship Id="rId69" Type="http://schemas.openxmlformats.org/officeDocument/2006/relationships/hyperlink" Target="https://derivation.esd.org.uk?area=E06000043&amp;period=fin_2013_14&amp;metricType=1030" TargetMode="External"/><Relationship Id="rId77" Type="http://schemas.openxmlformats.org/officeDocument/2006/relationships/hyperlink" Target="https://derivation.esd.org.uk?area=E06000043&amp;period=fin_2014_15&amp;metricType=3525"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erivation.esd.org.uk?area=E06000043&amp;period=sch_2018_19&amp;metricType=885" TargetMode="External"/><Relationship Id="rId72" Type="http://schemas.openxmlformats.org/officeDocument/2006/relationships/hyperlink" Target="https://derivation.esd.org.uk?area=E06000043&amp;period=fin_2016_17&amp;metricType=1030" TargetMode="External"/><Relationship Id="rId80" Type="http://schemas.openxmlformats.org/officeDocument/2006/relationships/hyperlink" Target="https://derivation.esd.org.uk?area=E06000043&amp;period=fin_2017_18&amp;metricType=3525" TargetMode="External"/><Relationship Id="rId85" Type="http://schemas.openxmlformats.org/officeDocument/2006/relationships/hyperlink" Target="https://derivation.esd.org.uk?area=E06000043&amp;period=fin_2015_16&amp;metricType=429" TargetMode="External"/><Relationship Id="rId93" Type="http://schemas.openxmlformats.org/officeDocument/2006/relationships/hyperlink" Target="https://derivation.esd.org.uk?area=E06000043&amp;period=fin_2016_17&amp;metricType=9008" TargetMode="External"/><Relationship Id="rId98"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rocainc.org/work/young-men-program/" TargetMode="External"/><Relationship Id="rId25" Type="http://schemas.openxmlformats.org/officeDocument/2006/relationships/hyperlink" Target="https://www.gov.uk/government/statistics/youth-justice-statistics-2017-to-2018" TargetMode="External"/><Relationship Id="rId33" Type="http://schemas.openxmlformats.org/officeDocument/2006/relationships/hyperlink" Target="https://derivation.esd.org.uk?area=E06000043&amp;period=fq_Q2_2017_18&amp;metricType=292" TargetMode="External"/><Relationship Id="rId38" Type="http://schemas.openxmlformats.org/officeDocument/2006/relationships/hyperlink" Target="https://derivation.esd.org.uk?area=E06000043&amp;period=sch_2013_14&amp;metricType=4674" TargetMode="External"/><Relationship Id="rId46" Type="http://schemas.openxmlformats.org/officeDocument/2006/relationships/hyperlink" Target="https://derivation.esd.org.uk?area=E06000043&amp;period=sch_2013_14&amp;metricType=885" TargetMode="External"/><Relationship Id="rId59" Type="http://schemas.openxmlformats.org/officeDocument/2006/relationships/hyperlink" Target="https://derivation.esd.org.uk?area=E06000043&amp;period=fin_2017_18&amp;metricType=6012" TargetMode="External"/><Relationship Id="rId67" Type="http://schemas.openxmlformats.org/officeDocument/2006/relationships/hyperlink" Target="https://derivation.esd.org.uk?area=E06000043&amp;period=fin_2018_19&amp;metricType=6012" TargetMode="External"/><Relationship Id="rId103" Type="http://schemas.openxmlformats.org/officeDocument/2006/relationships/theme" Target="theme/theme1.xml"/><Relationship Id="rId20" Type="http://schemas.openxmlformats.org/officeDocument/2006/relationships/hyperlink" Target="https://doi-org.ezproxy.brighton.ac.uk/10.1080/17533015.2017.1334002" TargetMode="External"/><Relationship Id="rId41" Type="http://schemas.openxmlformats.org/officeDocument/2006/relationships/hyperlink" Target="https://derivation.esd.org.uk?area=E06000043&amp;period=sch_2016_17&amp;metricType=4674" TargetMode="External"/><Relationship Id="rId54" Type="http://schemas.openxmlformats.org/officeDocument/2006/relationships/hyperlink" Target="https://lginform.local.gov.uk/reports/lgastandard?mod-metric=6012" TargetMode="External"/><Relationship Id="rId62" Type="http://schemas.openxmlformats.org/officeDocument/2006/relationships/hyperlink" Target="https://derivation.esd.org.uk?area=E06000043&amp;period=fin_2013_14&amp;metricType=6012" TargetMode="External"/><Relationship Id="rId70" Type="http://schemas.openxmlformats.org/officeDocument/2006/relationships/hyperlink" Target="https://derivation.esd.org.uk?area=E06000043&amp;period=fin_2014_15&amp;metricType=1030" TargetMode="External"/><Relationship Id="rId75" Type="http://schemas.openxmlformats.org/officeDocument/2006/relationships/hyperlink" Target="https://lginform.local.gov.uk/reports/lgastandard?mod-metric=3525" TargetMode="External"/><Relationship Id="rId83" Type="http://schemas.openxmlformats.org/officeDocument/2006/relationships/hyperlink" Target="https://derivation.esd.org.uk?area=E06000043&amp;period=fin_2013_14&amp;metricType=429" TargetMode="External"/><Relationship Id="rId88" Type="http://schemas.openxmlformats.org/officeDocument/2006/relationships/hyperlink" Target="https://derivation.esd.org.uk?area=E06000043&amp;period=fin_2018_19&amp;metricType=429" TargetMode="External"/><Relationship Id="rId91" Type="http://schemas.openxmlformats.org/officeDocument/2006/relationships/hyperlink" Target="https://derivation.esd.org.uk?area=E06000043&amp;period=fin_2014_15&amp;metricType=9008" TargetMode="External"/><Relationship Id="rId9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etwo.co.uk/" TargetMode="External"/><Relationship Id="rId23" Type="http://schemas.openxmlformats.org/officeDocument/2006/relationships/hyperlink" Target="https://www.gov.uk/government/publications/criminal-exploitation-of-children-and-vulnerable-adults-county-lines/criminal-exploitation-of-children-and-vulnerable-adults-county-lines" TargetMode="External"/><Relationship Id="rId28" Type="http://schemas.openxmlformats.org/officeDocument/2006/relationships/hyperlink" Target="https://www.nomisweb.co.uk/reports/lmp/la/1946157280/report.aspx" TargetMode="External"/><Relationship Id="rId36" Type="http://schemas.openxmlformats.org/officeDocument/2006/relationships/image" Target="media/image6.png"/><Relationship Id="rId49" Type="http://schemas.openxmlformats.org/officeDocument/2006/relationships/hyperlink" Target="https://derivation.esd.org.uk?area=E06000043&amp;period=sch_2016_17&amp;metricType=885" TargetMode="External"/><Relationship Id="rId57" Type="http://schemas.openxmlformats.org/officeDocument/2006/relationships/hyperlink" Target="https://derivation.esd.org.uk?area=E06000043&amp;period=fin_2015_16&amp;metricType=6012" TargetMode="External"/><Relationship Id="rId10" Type="http://schemas.openxmlformats.org/officeDocument/2006/relationships/endnotes" Target="endnotes.xml"/><Relationship Id="rId31" Type="http://schemas.openxmlformats.org/officeDocument/2006/relationships/hyperlink" Target="https://derivation.esd.org.uk?area=E06000043&amp;period=fq_Q4_2016_17&amp;metricType=292" TargetMode="External"/><Relationship Id="rId44" Type="http://schemas.openxmlformats.org/officeDocument/2006/relationships/image" Target="media/image7.png"/><Relationship Id="rId52" Type="http://schemas.openxmlformats.org/officeDocument/2006/relationships/image" Target="media/image8.png"/><Relationship Id="rId60" Type="http://schemas.openxmlformats.org/officeDocument/2006/relationships/hyperlink" Target="https://derivation.esd.org.uk?area=E06000043&amp;period=fin_2018_19&amp;metricType=6012" TargetMode="External"/><Relationship Id="rId65" Type="http://schemas.openxmlformats.org/officeDocument/2006/relationships/hyperlink" Target="https://derivation.esd.org.uk?area=E06000043&amp;period=fin_2016_17&amp;metricType=6012" TargetMode="External"/><Relationship Id="rId73" Type="http://schemas.openxmlformats.org/officeDocument/2006/relationships/hyperlink" Target="https://derivation.esd.org.uk?area=E06000043&amp;period=fin_2017_18&amp;metricType=1030" TargetMode="External"/><Relationship Id="rId78" Type="http://schemas.openxmlformats.org/officeDocument/2006/relationships/hyperlink" Target="https://derivation.esd.org.uk?area=E06000043&amp;period=fin_2015_16&amp;metricType=3525" TargetMode="External"/><Relationship Id="rId81" Type="http://schemas.openxmlformats.org/officeDocument/2006/relationships/hyperlink" Target="https://derivation.esd.org.uk?area=E06000043&amp;period=fin_2018_19&amp;metricType=3525" TargetMode="External"/><Relationship Id="rId86" Type="http://schemas.openxmlformats.org/officeDocument/2006/relationships/hyperlink" Target="https://derivation.esd.org.uk?area=E06000043&amp;period=fin_2016_17&amp;metricType=429" TargetMode="External"/><Relationship Id="rId94" Type="http://schemas.openxmlformats.org/officeDocument/2006/relationships/hyperlink" Target="https://derivation.esd.org.uk?area=E06000043&amp;period=fin_2017_18&amp;metricType=9008"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hatworks-csc.org.uk/" TargetMode="External"/><Relationship Id="rId18" Type="http://schemas.openxmlformats.org/officeDocument/2006/relationships/image" Target="media/image4.png"/><Relationship Id="rId39" Type="http://schemas.openxmlformats.org/officeDocument/2006/relationships/hyperlink" Target="https://derivation.esd.org.uk?area=E06000043&amp;period=sch_2014_15&amp;metricType=4674" TargetMode="External"/><Relationship Id="rId34" Type="http://schemas.openxmlformats.org/officeDocument/2006/relationships/hyperlink" Target="https://derivation.esd.org.uk?area=E06000043&amp;period=fq_Q3_2017_18&amp;metricType=292" TargetMode="External"/><Relationship Id="rId50" Type="http://schemas.openxmlformats.org/officeDocument/2006/relationships/hyperlink" Target="https://derivation.esd.org.uk?area=E06000043&amp;period=sch_2017_18&amp;metricType=885" TargetMode="External"/><Relationship Id="rId55" Type="http://schemas.openxmlformats.org/officeDocument/2006/relationships/hyperlink" Target="https://derivation.esd.org.uk?area=E06000043&amp;period=fin_2013_14&amp;metricType=6012" TargetMode="External"/><Relationship Id="rId76" Type="http://schemas.openxmlformats.org/officeDocument/2006/relationships/hyperlink" Target="https://derivation.esd.org.uk?area=E06000043&amp;period=fin_2013_14&amp;metricType=3525" TargetMode="External"/><Relationship Id="rId97"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s://www.csnetwork.org.uk/en/about/what-is-contextual-safeguar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6314CD6BFA1D418807532729E508A7" ma:contentTypeVersion="4" ma:contentTypeDescription="Create a new document." ma:contentTypeScope="" ma:versionID="63c6b77b4ee659f2fc4df91df314302a">
  <xsd:schema xmlns:xsd="http://www.w3.org/2001/XMLSchema" xmlns:xs="http://www.w3.org/2001/XMLSchema" xmlns:p="http://schemas.microsoft.com/office/2006/metadata/properties" xmlns:ns2="d0cf7155-5292-499e-94b8-ceb291bf61f2" targetNamespace="http://schemas.microsoft.com/office/2006/metadata/properties" ma:root="true" ma:fieldsID="f2494a77199d68bc7f58df7a9eedc096" ns2:_="">
    <xsd:import namespace="d0cf7155-5292-499e-94b8-ceb291bf61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f7155-5292-499e-94b8-ceb291bf6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48B7-5127-42D5-BB05-07F15BC3BCEB}">
  <ds:schemaRefs>
    <ds:schemaRef ds:uri="http://schemas.microsoft.com/sharepoint/v3/contenttype/forms"/>
  </ds:schemaRefs>
</ds:datastoreItem>
</file>

<file path=customXml/itemProps2.xml><?xml version="1.0" encoding="utf-8"?>
<ds:datastoreItem xmlns:ds="http://schemas.openxmlformats.org/officeDocument/2006/customXml" ds:itemID="{10D5B295-B55E-4788-8ECC-6609EEB7A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f7155-5292-499e-94b8-ceb291bf6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BC41C-50F0-4747-8CEF-39F8681B53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580271-C28D-4B0E-B098-A902B401A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79092</Words>
  <Characters>450825</Characters>
  <Application>Microsoft Office Word</Application>
  <DocSecurity>0</DocSecurity>
  <Lines>3756</Lines>
  <Paragraphs>1057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North</dc:creator>
  <cp:keywords/>
  <dc:description/>
  <cp:lastModifiedBy>Mark Price</cp:lastModifiedBy>
  <cp:revision>3</cp:revision>
  <dcterms:created xsi:type="dcterms:W3CDTF">2022-11-23T09:29:00Z</dcterms:created>
  <dcterms:modified xsi:type="dcterms:W3CDTF">2022-11-23T09:29:00Z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8a6cf926-fb85-3223-abc0-5cfdb66c0b3c</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0x010100796314CD6BFA1D418807532729E508A7</vt:lpwstr>
  </property>
</Properties>
</file>